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stheme="minorBidi"/>
          <w:b w:val="0"/>
          <w:bCs w:val="0"/>
          <w:color w:val="000000" w:themeColor="text1"/>
          <w:sz w:val="24"/>
          <w:szCs w:val="22"/>
        </w:rPr>
        <w:id w:val="1369874206"/>
        <w:docPartObj>
          <w:docPartGallery w:val="Cover Pages"/>
          <w:docPartUnique/>
        </w:docPartObj>
      </w:sdtPr>
      <w:sdtEndPr/>
      <w:sdtContent>
        <w:p w14:paraId="2F372423" w14:textId="0E4B9121" w:rsidR="00214207" w:rsidRPr="007D06C4" w:rsidRDefault="00527932" w:rsidP="00527932">
          <w:pPr>
            <w:pStyle w:val="Heading2"/>
            <w:jc w:val="right"/>
          </w:pPr>
          <w:r>
            <w:rPr>
              <w:noProof/>
            </w:rPr>
            <w:drawing>
              <wp:anchor distT="0" distB="0" distL="114300" distR="114300" simplePos="0" relativeHeight="251658240" behindDoc="1" locked="0" layoutInCell="1" allowOverlap="1" wp14:anchorId="1A7A4DD5" wp14:editId="0F2E6CC3">
                <wp:simplePos x="0" y="0"/>
                <wp:positionH relativeFrom="column">
                  <wp:posOffset>6094051</wp:posOffset>
                </wp:positionH>
                <wp:positionV relativeFrom="paragraph">
                  <wp:posOffset>-932328</wp:posOffset>
                </wp:positionV>
                <wp:extent cx="2787015" cy="2053590"/>
                <wp:effectExtent l="0" t="0" r="0" b="381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87015" cy="2053590"/>
                        </a:xfrm>
                        <a:prstGeom prst="rect">
                          <a:avLst/>
                        </a:prstGeom>
                      </pic:spPr>
                    </pic:pic>
                  </a:graphicData>
                </a:graphic>
                <wp14:sizeRelH relativeFrom="page">
                  <wp14:pctWidth>0</wp14:pctWidth>
                </wp14:sizeRelH>
                <wp14:sizeRelV relativeFrom="page">
                  <wp14:pctHeight>0</wp14:pctHeight>
                </wp14:sizeRelV>
              </wp:anchor>
            </w:drawing>
          </w:r>
        </w:p>
        <w:p w14:paraId="3DCD7506" w14:textId="3A85E7C8" w:rsidR="00214207" w:rsidRPr="00214207" w:rsidRDefault="004D34DD" w:rsidP="00370348">
          <w:pPr>
            <w:pStyle w:val="Heading1"/>
          </w:pPr>
          <w:r>
            <w:t>ICB Supplementary Information to support risk stratification application to the Confidentiality Advisory Group</w:t>
          </w:r>
          <w:r w:rsidR="00905B29">
            <w:t>.</w:t>
          </w:r>
        </w:p>
        <w:p w14:paraId="4F3B1F0C" w14:textId="3E19C01E" w:rsidR="00905B29" w:rsidRDefault="00905B29" w:rsidP="008E429D">
          <w:pPr>
            <w:pStyle w:val="Heading2"/>
          </w:pPr>
          <w:r>
            <w:t>Introduction</w:t>
          </w:r>
          <w:r w:rsidR="00F9602B">
            <w:t xml:space="preserve"> </w:t>
          </w:r>
        </w:p>
        <w:p w14:paraId="77B44AE4" w14:textId="26A11A6F" w:rsidR="00265F33" w:rsidRDefault="004D34DD" w:rsidP="000433CE">
          <w:r>
            <w:t>Th</w:t>
          </w:r>
          <w:r w:rsidR="00AE47FC">
            <w:t>e supplementary information</w:t>
          </w:r>
          <w:r>
            <w:t xml:space="preserve"> </w:t>
          </w:r>
          <w:r w:rsidR="00AE47FC">
            <w:t>document must</w:t>
          </w:r>
          <w:r>
            <w:t xml:space="preserve"> be completed by all Integrated Care Boards </w:t>
          </w:r>
          <w:r w:rsidR="00E01B97">
            <w:t xml:space="preserve">(ICB) </w:t>
          </w:r>
          <w:r w:rsidR="00D70787">
            <w:t xml:space="preserve">wishing to gain Regulation 5 support </w:t>
          </w:r>
          <w:r w:rsidR="007B7A28">
            <w:t>from the Confidentiality Advisory Group (CAG) for risk stratification activity.</w:t>
          </w:r>
        </w:p>
        <w:p w14:paraId="5E367958" w14:textId="72CCF225" w:rsidR="0003232F" w:rsidRDefault="0003232F" w:rsidP="000433CE">
          <w:r>
            <w:t xml:space="preserve">The </w:t>
          </w:r>
          <w:r w:rsidR="007B7A28">
            <w:t xml:space="preserve">supplementary information document must </w:t>
          </w:r>
          <w:r>
            <w:t xml:space="preserve">be signed by </w:t>
          </w:r>
          <w:r w:rsidR="00E01B97">
            <w:t>an</w:t>
          </w:r>
          <w:r>
            <w:t xml:space="preserve"> appropriately authorised individual at each </w:t>
          </w:r>
          <w:r w:rsidR="00B4093C">
            <w:t>ICB and</w:t>
          </w:r>
          <w:r>
            <w:t xml:space="preserve"> </w:t>
          </w:r>
          <w:r w:rsidR="00300A7E">
            <w:t>provided with the</w:t>
          </w:r>
          <w:r w:rsidR="00434AD4">
            <w:t xml:space="preserve"> core</w:t>
          </w:r>
          <w:r w:rsidR="00300A7E">
            <w:t xml:space="preserve"> application </w:t>
          </w:r>
          <w:r w:rsidR="00434AD4">
            <w:t xml:space="preserve">document </w:t>
          </w:r>
          <w:r w:rsidR="009B42FA">
            <w:t xml:space="preserve">for consideration by CAG. Any ICB who does not submit </w:t>
          </w:r>
          <w:r w:rsidR="00233261">
            <w:t>to CAG</w:t>
          </w:r>
          <w:r w:rsidR="00E81246">
            <w:t xml:space="preserve"> for consideration</w:t>
          </w:r>
          <w:r w:rsidR="009B42FA">
            <w:t xml:space="preserve"> </w:t>
          </w:r>
          <w:r w:rsidR="0068298C">
            <w:t>will no longer be able to rely on Regulation 5 support and will no</w:t>
          </w:r>
          <w:r w:rsidR="008253E7">
            <w:t>t</w:t>
          </w:r>
          <w:r w:rsidR="0068298C">
            <w:t xml:space="preserve"> have a legal basis </w:t>
          </w:r>
          <w:r w:rsidR="00E01B97">
            <w:t xml:space="preserve">under the Common Law Duty of Confidentiality </w:t>
          </w:r>
          <w:r w:rsidR="0068298C">
            <w:t>to undertake risk stratification</w:t>
          </w:r>
          <w:r w:rsidR="0081463E">
            <w:t>.</w:t>
          </w:r>
        </w:p>
        <w:p w14:paraId="02018B0F" w14:textId="0CCCFC51" w:rsidR="000C5274" w:rsidRDefault="000C5274" w:rsidP="000433CE">
          <w:r w:rsidRPr="000C5274">
            <w:t>Please note - Any additional information / documents must be included within the Appendices List, as an appendix individually referenced with a clear title and version number/date (where relevant).</w:t>
          </w:r>
        </w:p>
        <w:p w14:paraId="2FE28A76" w14:textId="70818C4F" w:rsidR="0081463E" w:rsidRDefault="0081463E" w:rsidP="0081463E">
          <w:pPr>
            <w:pStyle w:val="Heading2"/>
          </w:pPr>
          <w:r>
            <w:t>Administrative details</w:t>
          </w:r>
        </w:p>
        <w:tbl>
          <w:tblPr>
            <w:tblStyle w:val="TableGrid"/>
            <w:tblW w:w="13603" w:type="dxa"/>
            <w:tblLook w:val="04A0" w:firstRow="1" w:lastRow="0" w:firstColumn="1" w:lastColumn="0" w:noHBand="0" w:noVBand="1"/>
          </w:tblPr>
          <w:tblGrid>
            <w:gridCol w:w="4390"/>
            <w:gridCol w:w="9213"/>
          </w:tblGrid>
          <w:tr w:rsidR="0081463E" w14:paraId="6BE7B755" w14:textId="77777777" w:rsidTr="002844E8">
            <w:tc>
              <w:tcPr>
                <w:tcW w:w="4390" w:type="dxa"/>
              </w:tcPr>
              <w:p w14:paraId="6876805C" w14:textId="0BFE95B2" w:rsidR="0081463E" w:rsidRPr="0081463E" w:rsidRDefault="00E94F6E" w:rsidP="000433CE">
                <w:pPr>
                  <w:rPr>
                    <w:b/>
                    <w:bCs/>
                  </w:rPr>
                </w:pPr>
                <w:r>
                  <w:rPr>
                    <w:b/>
                    <w:bCs/>
                  </w:rPr>
                  <w:t>ICB Name</w:t>
                </w:r>
              </w:p>
            </w:tc>
            <w:tc>
              <w:tcPr>
                <w:tcW w:w="9213" w:type="dxa"/>
              </w:tcPr>
              <w:p w14:paraId="2527334C" w14:textId="734B0810" w:rsidR="0081463E" w:rsidRDefault="0081463E" w:rsidP="000C5274"/>
            </w:tc>
          </w:tr>
          <w:tr w:rsidR="0081463E" w14:paraId="10CEF63C" w14:textId="77777777" w:rsidTr="002844E8">
            <w:tc>
              <w:tcPr>
                <w:tcW w:w="4390" w:type="dxa"/>
              </w:tcPr>
              <w:p w14:paraId="3D67B550" w14:textId="3F0D174C" w:rsidR="0081463E" w:rsidRDefault="00E94F6E" w:rsidP="000433CE">
                <w:pPr>
                  <w:rPr>
                    <w:b/>
                    <w:bCs/>
                  </w:rPr>
                </w:pPr>
                <w:r w:rsidRPr="006245C1">
                  <w:rPr>
                    <w:b/>
                    <w:bCs/>
                  </w:rPr>
                  <w:t>Authorised Individual name</w:t>
                </w:r>
                <w:r w:rsidR="00F0238B">
                  <w:rPr>
                    <w:b/>
                    <w:bCs/>
                  </w:rPr>
                  <w:t>,</w:t>
                </w:r>
                <w:r w:rsidRPr="006245C1">
                  <w:rPr>
                    <w:b/>
                    <w:bCs/>
                  </w:rPr>
                  <w:t xml:space="preserve"> </w:t>
                </w:r>
                <w:r w:rsidR="006245C1" w:rsidRPr="006245C1">
                  <w:rPr>
                    <w:b/>
                    <w:bCs/>
                  </w:rPr>
                  <w:t>job title</w:t>
                </w:r>
                <w:r w:rsidR="00F0238B">
                  <w:rPr>
                    <w:b/>
                    <w:bCs/>
                  </w:rPr>
                  <w:t xml:space="preserve"> and contact details</w:t>
                </w:r>
                <w:r w:rsidR="006245C1">
                  <w:rPr>
                    <w:b/>
                    <w:bCs/>
                  </w:rPr>
                  <w:t>.</w:t>
                </w:r>
              </w:p>
              <w:p w14:paraId="33713815" w14:textId="2BBA3FF2" w:rsidR="00E94F6E" w:rsidRPr="006245C1" w:rsidRDefault="00E94F6E" w:rsidP="000433CE">
                <w:pPr>
                  <w:rPr>
                    <w:i/>
                    <w:iCs/>
                  </w:rPr>
                </w:pPr>
              </w:p>
            </w:tc>
            <w:tc>
              <w:tcPr>
                <w:tcW w:w="9213" w:type="dxa"/>
              </w:tcPr>
              <w:p w14:paraId="19814F61" w14:textId="055F9ACD" w:rsidR="0081463E" w:rsidRPr="00C77A8E" w:rsidRDefault="00A95AD1" w:rsidP="000433CE">
                <w:pPr>
                  <w:rPr>
                    <w:i/>
                    <w:iCs/>
                    <w:color w:val="595959" w:themeColor="text1" w:themeTint="A6"/>
                    <w:sz w:val="18"/>
                    <w:szCs w:val="18"/>
                  </w:rPr>
                </w:pPr>
                <w:r w:rsidRPr="00C77A8E">
                  <w:rPr>
                    <w:i/>
                    <w:iCs/>
                    <w:color w:val="595959" w:themeColor="text1" w:themeTint="A6"/>
                    <w:sz w:val="18"/>
                    <w:szCs w:val="18"/>
                  </w:rPr>
                  <w:t>[</w:t>
                </w:r>
                <w:r w:rsidR="00E01B97" w:rsidRPr="00C77A8E">
                  <w:rPr>
                    <w:i/>
                    <w:iCs/>
                    <w:color w:val="595959" w:themeColor="text1" w:themeTint="A6"/>
                    <w:sz w:val="18"/>
                    <w:szCs w:val="18"/>
                  </w:rPr>
                  <w:t>Refer to the application template response</w:t>
                </w:r>
                <w:r w:rsidR="00C77A8E" w:rsidRPr="00C77A8E">
                  <w:rPr>
                    <w:i/>
                    <w:iCs/>
                    <w:color w:val="595959" w:themeColor="text1" w:themeTint="A6"/>
                    <w:sz w:val="18"/>
                    <w:szCs w:val="18"/>
                  </w:rPr>
                  <w:t xml:space="preserve"> - This individual is appropriately authorised by ICB leadership to be the point of contact for risk stratification matters and should sign off all subsequent annual reviews. Where this individual changes CAG should be notified.</w:t>
                </w:r>
                <w:r w:rsidR="00E01B97" w:rsidRPr="00C77A8E">
                  <w:rPr>
                    <w:i/>
                    <w:iCs/>
                    <w:color w:val="595959" w:themeColor="text1" w:themeTint="A6"/>
                    <w:sz w:val="18"/>
                    <w:szCs w:val="18"/>
                  </w:rPr>
                  <w:t>]</w:t>
                </w:r>
              </w:p>
            </w:tc>
          </w:tr>
          <w:tr w:rsidR="00CD3D8F" w14:paraId="0727A6A4" w14:textId="77777777" w:rsidTr="002844E8">
            <w:tc>
              <w:tcPr>
                <w:tcW w:w="4390" w:type="dxa"/>
              </w:tcPr>
              <w:p w14:paraId="0C498BDB" w14:textId="33DD6E9E" w:rsidR="00CD3D8F" w:rsidRDefault="00CD3D8F" w:rsidP="000433CE">
                <w:pPr>
                  <w:rPr>
                    <w:b/>
                    <w:bCs/>
                  </w:rPr>
                </w:pPr>
                <w:r>
                  <w:rPr>
                    <w:b/>
                    <w:bCs/>
                  </w:rPr>
                  <w:lastRenderedPageBreak/>
                  <w:t xml:space="preserve">Primary </w:t>
                </w:r>
                <w:r w:rsidR="004B1D5C">
                  <w:rPr>
                    <w:b/>
                    <w:bCs/>
                  </w:rPr>
                  <w:t>c</w:t>
                </w:r>
                <w:r>
                  <w:rPr>
                    <w:b/>
                    <w:bCs/>
                  </w:rPr>
                  <w:t xml:space="preserve">ontact </w:t>
                </w:r>
                <w:r w:rsidR="0006332E">
                  <w:rPr>
                    <w:b/>
                    <w:bCs/>
                  </w:rPr>
                  <w:t xml:space="preserve">for risk stratification </w:t>
                </w:r>
              </w:p>
              <w:p w14:paraId="0F7E80FC" w14:textId="20AB0734" w:rsidR="0006332E" w:rsidRPr="002844E8" w:rsidRDefault="0006332E" w:rsidP="000433CE">
                <w:pPr>
                  <w:rPr>
                    <w:i/>
                    <w:iCs/>
                    <w:sz w:val="20"/>
                    <w:szCs w:val="20"/>
                  </w:rPr>
                </w:pPr>
                <w:r w:rsidRPr="002844E8">
                  <w:rPr>
                    <w:i/>
                    <w:iCs/>
                    <w:sz w:val="20"/>
                    <w:szCs w:val="20"/>
                  </w:rPr>
                  <w:t xml:space="preserve">The primary contact will be </w:t>
                </w:r>
                <w:r w:rsidR="002000C8">
                  <w:rPr>
                    <w:i/>
                    <w:iCs/>
                    <w:sz w:val="20"/>
                    <w:szCs w:val="20"/>
                  </w:rPr>
                  <w:t>utilised as the mechanism for correspond</w:t>
                </w:r>
                <w:r w:rsidR="003E14E9">
                  <w:rPr>
                    <w:i/>
                    <w:iCs/>
                    <w:sz w:val="20"/>
                    <w:szCs w:val="20"/>
                  </w:rPr>
                  <w:t xml:space="preserve">ing </w:t>
                </w:r>
                <w:r w:rsidR="002000C8">
                  <w:rPr>
                    <w:i/>
                    <w:iCs/>
                    <w:sz w:val="20"/>
                    <w:szCs w:val="20"/>
                  </w:rPr>
                  <w:t xml:space="preserve">with CAG </w:t>
                </w:r>
              </w:p>
            </w:tc>
            <w:tc>
              <w:tcPr>
                <w:tcW w:w="9213" w:type="dxa"/>
              </w:tcPr>
              <w:p w14:paraId="0326EB90" w14:textId="387A019D" w:rsidR="00CD3D8F" w:rsidRPr="00C77A8E" w:rsidRDefault="003E14E9" w:rsidP="000433CE">
                <w:pPr>
                  <w:rPr>
                    <w:i/>
                    <w:iCs/>
                    <w:color w:val="595959" w:themeColor="text1" w:themeTint="A6"/>
                    <w:sz w:val="18"/>
                    <w:szCs w:val="18"/>
                  </w:rPr>
                </w:pPr>
                <w:r w:rsidRPr="002844E8">
                  <w:rPr>
                    <w:i/>
                    <w:iCs/>
                    <w:color w:val="7F7F7F" w:themeColor="text1" w:themeTint="80"/>
                    <w:sz w:val="18"/>
                    <w:szCs w:val="18"/>
                  </w:rPr>
                  <w:t>[Name, role, email address,</w:t>
                </w:r>
                <w:r w:rsidR="00AF47E9" w:rsidRPr="002844E8">
                  <w:rPr>
                    <w:i/>
                    <w:iCs/>
                    <w:color w:val="7F7F7F" w:themeColor="text1" w:themeTint="80"/>
                    <w:sz w:val="18"/>
                    <w:szCs w:val="18"/>
                  </w:rPr>
                  <w:t>]</w:t>
                </w:r>
              </w:p>
            </w:tc>
          </w:tr>
          <w:tr w:rsidR="00D736CC" w14:paraId="7138BDD8" w14:textId="77777777" w:rsidTr="008E2925">
            <w:tc>
              <w:tcPr>
                <w:tcW w:w="4390" w:type="dxa"/>
              </w:tcPr>
              <w:p w14:paraId="2D3C6E28" w14:textId="2725B289" w:rsidR="00D736CC" w:rsidRPr="000007EC" w:rsidRDefault="008A15E5" w:rsidP="00661FF7">
                <w:pPr>
                  <w:spacing w:before="240"/>
                  <w:rPr>
                    <w:b/>
                    <w:bCs/>
                  </w:rPr>
                </w:pPr>
                <w:r>
                  <w:rPr>
                    <w:b/>
                    <w:bCs/>
                  </w:rPr>
                  <w:t xml:space="preserve">ICB </w:t>
                </w:r>
                <w:r w:rsidR="00C12DAA">
                  <w:rPr>
                    <w:b/>
                    <w:bCs/>
                  </w:rPr>
                  <w:t xml:space="preserve">Data Security &amp; Protection Toolkit (DSPT) published </w:t>
                </w:r>
                <w:r w:rsidR="00F47E0C">
                  <w:rPr>
                    <w:b/>
                    <w:bCs/>
                  </w:rPr>
                  <w:t xml:space="preserve">position. </w:t>
                </w:r>
              </w:p>
            </w:tc>
            <w:tc>
              <w:tcPr>
                <w:tcW w:w="9213" w:type="dxa"/>
              </w:tcPr>
              <w:p w14:paraId="04FA7288" w14:textId="77777777" w:rsidR="002C6451" w:rsidRPr="002844E8" w:rsidRDefault="00F47E0C" w:rsidP="00EF2233">
                <w:pPr>
                  <w:rPr>
                    <w:i/>
                    <w:iCs/>
                    <w:color w:val="7F7F7F" w:themeColor="text1" w:themeTint="80"/>
                    <w:sz w:val="18"/>
                    <w:szCs w:val="18"/>
                  </w:rPr>
                </w:pPr>
                <w:r w:rsidRPr="002844E8">
                  <w:rPr>
                    <w:i/>
                    <w:iCs/>
                    <w:color w:val="7F7F7F" w:themeColor="text1" w:themeTint="80"/>
                    <w:sz w:val="18"/>
                    <w:szCs w:val="18"/>
                  </w:rPr>
                  <w:t xml:space="preserve">[What did the ICB declare as the final position </w:t>
                </w:r>
                <w:r w:rsidR="002C6451" w:rsidRPr="002844E8">
                  <w:rPr>
                    <w:i/>
                    <w:iCs/>
                    <w:color w:val="7F7F7F" w:themeColor="text1" w:themeTint="80"/>
                    <w:sz w:val="18"/>
                    <w:szCs w:val="18"/>
                  </w:rPr>
                  <w:t xml:space="preserve">for DSPT compliance. </w:t>
                </w:r>
              </w:p>
              <w:p w14:paraId="4561231D" w14:textId="1F57C3AC" w:rsidR="00D736CC" w:rsidRPr="002844E8" w:rsidRDefault="002C6451" w:rsidP="002C6451">
                <w:pPr>
                  <w:pStyle w:val="ListParagraph"/>
                  <w:numPr>
                    <w:ilvl w:val="0"/>
                    <w:numId w:val="61"/>
                  </w:numPr>
                  <w:rPr>
                    <w:i/>
                    <w:iCs/>
                    <w:color w:val="7F7F7F" w:themeColor="text1" w:themeTint="80"/>
                    <w:sz w:val="18"/>
                    <w:szCs w:val="18"/>
                  </w:rPr>
                </w:pPr>
                <w:r w:rsidRPr="002844E8">
                  <w:rPr>
                    <w:i/>
                    <w:iCs/>
                    <w:color w:val="7F7F7F" w:themeColor="text1" w:themeTint="80"/>
                    <w:sz w:val="18"/>
                    <w:szCs w:val="18"/>
                  </w:rPr>
                  <w:t xml:space="preserve">Standards not met, </w:t>
                </w:r>
              </w:p>
              <w:p w14:paraId="1FEB2C51" w14:textId="35744CDF" w:rsidR="002C6451" w:rsidRPr="002844E8" w:rsidRDefault="002C6451" w:rsidP="002C6451">
                <w:pPr>
                  <w:pStyle w:val="ListParagraph"/>
                  <w:numPr>
                    <w:ilvl w:val="0"/>
                    <w:numId w:val="61"/>
                  </w:numPr>
                  <w:rPr>
                    <w:i/>
                    <w:iCs/>
                    <w:color w:val="7F7F7F" w:themeColor="text1" w:themeTint="80"/>
                    <w:sz w:val="18"/>
                    <w:szCs w:val="18"/>
                  </w:rPr>
                </w:pPr>
                <w:r w:rsidRPr="002844E8">
                  <w:rPr>
                    <w:i/>
                    <w:iCs/>
                    <w:color w:val="7F7F7F" w:themeColor="text1" w:themeTint="80"/>
                    <w:sz w:val="18"/>
                    <w:szCs w:val="18"/>
                  </w:rPr>
                  <w:t>Standards not met</w:t>
                </w:r>
                <w:r w:rsidR="0057532E" w:rsidRPr="002844E8">
                  <w:rPr>
                    <w:i/>
                    <w:iCs/>
                    <w:color w:val="7F7F7F" w:themeColor="text1" w:themeTint="80"/>
                    <w:sz w:val="18"/>
                    <w:szCs w:val="18"/>
                  </w:rPr>
                  <w:t>, improvement plan in place</w:t>
                </w:r>
              </w:p>
              <w:p w14:paraId="56859A6D" w14:textId="65DB4711" w:rsidR="0057532E" w:rsidRPr="002844E8" w:rsidRDefault="0057532E" w:rsidP="002C6451">
                <w:pPr>
                  <w:pStyle w:val="ListParagraph"/>
                  <w:numPr>
                    <w:ilvl w:val="0"/>
                    <w:numId w:val="61"/>
                  </w:numPr>
                  <w:rPr>
                    <w:i/>
                    <w:iCs/>
                    <w:color w:val="7F7F7F" w:themeColor="text1" w:themeTint="80"/>
                    <w:sz w:val="18"/>
                    <w:szCs w:val="18"/>
                  </w:rPr>
                </w:pPr>
                <w:r w:rsidRPr="002844E8">
                  <w:rPr>
                    <w:i/>
                    <w:iCs/>
                    <w:color w:val="7F7F7F" w:themeColor="text1" w:themeTint="80"/>
                    <w:sz w:val="18"/>
                    <w:szCs w:val="18"/>
                  </w:rPr>
                  <w:t>Standards met</w:t>
                </w:r>
              </w:p>
              <w:p w14:paraId="1BCF6C92" w14:textId="61C6B48C" w:rsidR="0057532E" w:rsidRPr="002844E8" w:rsidRDefault="001376FE" w:rsidP="002844E8">
                <w:pPr>
                  <w:pStyle w:val="ListParagraph"/>
                  <w:numPr>
                    <w:ilvl w:val="0"/>
                    <w:numId w:val="61"/>
                  </w:numPr>
                  <w:rPr>
                    <w:i/>
                    <w:iCs/>
                    <w:color w:val="7F7F7F" w:themeColor="text1" w:themeTint="80"/>
                    <w:sz w:val="18"/>
                    <w:szCs w:val="18"/>
                  </w:rPr>
                </w:pPr>
                <w:r w:rsidRPr="002844E8">
                  <w:rPr>
                    <w:i/>
                    <w:iCs/>
                    <w:color w:val="7F7F7F" w:themeColor="text1" w:themeTint="80"/>
                    <w:sz w:val="18"/>
                    <w:szCs w:val="18"/>
                  </w:rPr>
                  <w:t>Standards</w:t>
                </w:r>
                <w:r w:rsidR="0057532E" w:rsidRPr="002844E8">
                  <w:rPr>
                    <w:i/>
                    <w:iCs/>
                    <w:color w:val="7F7F7F" w:themeColor="text1" w:themeTint="80"/>
                    <w:sz w:val="18"/>
                    <w:szCs w:val="18"/>
                  </w:rPr>
                  <w:t xml:space="preserve"> </w:t>
                </w:r>
                <w:r w:rsidRPr="002844E8">
                  <w:rPr>
                    <w:i/>
                    <w:iCs/>
                    <w:color w:val="7F7F7F" w:themeColor="text1" w:themeTint="80"/>
                    <w:sz w:val="18"/>
                    <w:szCs w:val="18"/>
                  </w:rPr>
                  <w:t>exceeded</w:t>
                </w:r>
                <w:r w:rsidR="008A15E5">
                  <w:rPr>
                    <w:i/>
                    <w:iCs/>
                    <w:color w:val="7F7F7F" w:themeColor="text1" w:themeTint="80"/>
                    <w:sz w:val="18"/>
                    <w:szCs w:val="18"/>
                  </w:rPr>
                  <w:t>]</w:t>
                </w:r>
              </w:p>
              <w:p w14:paraId="025AD20C" w14:textId="77777777" w:rsidR="00F47E0C" w:rsidRPr="00357C35" w:rsidRDefault="00F47E0C" w:rsidP="00EF2233">
                <w:pPr>
                  <w:rPr>
                    <w:i/>
                    <w:iCs/>
                    <w:color w:val="595959" w:themeColor="text1" w:themeTint="A6"/>
                    <w:sz w:val="18"/>
                    <w:szCs w:val="18"/>
                  </w:rPr>
                </w:pPr>
              </w:p>
            </w:tc>
          </w:tr>
          <w:tr w:rsidR="008253E7" w14:paraId="1C4323D1" w14:textId="77777777" w:rsidTr="002844E8">
            <w:tc>
              <w:tcPr>
                <w:tcW w:w="4390" w:type="dxa"/>
                <w:vMerge w:val="restart"/>
              </w:tcPr>
              <w:p w14:paraId="49A8C476" w14:textId="50E9778B" w:rsidR="008253E7" w:rsidRPr="000007EC" w:rsidRDefault="008253E7" w:rsidP="00661FF7">
                <w:pPr>
                  <w:spacing w:before="240"/>
                  <w:rPr>
                    <w:b/>
                    <w:bCs/>
                  </w:rPr>
                </w:pPr>
                <w:r w:rsidRPr="000007EC">
                  <w:rPr>
                    <w:b/>
                    <w:bCs/>
                  </w:rPr>
                  <w:t>Name of risk stratification supplier</w:t>
                </w:r>
                <w:r>
                  <w:rPr>
                    <w:b/>
                    <w:bCs/>
                  </w:rPr>
                  <w:t xml:space="preserve">(s) and confirmation of DSPT 22/23 </w:t>
                </w:r>
                <w:r w:rsidR="00CA35CB">
                  <w:rPr>
                    <w:b/>
                    <w:bCs/>
                  </w:rPr>
                  <w:t>assurance by NHS England</w:t>
                </w:r>
                <w:r>
                  <w:rPr>
                    <w:b/>
                    <w:bCs/>
                  </w:rPr>
                  <w:t xml:space="preserve">.  </w:t>
                </w:r>
              </w:p>
              <w:p w14:paraId="6EC925E6" w14:textId="03817EF7" w:rsidR="008253E7" w:rsidRPr="000007EC" w:rsidRDefault="008253E7" w:rsidP="000433CE">
                <w:pPr>
                  <w:rPr>
                    <w:i/>
                    <w:iCs/>
                  </w:rPr>
                </w:pPr>
              </w:p>
            </w:tc>
            <w:tc>
              <w:tcPr>
                <w:tcW w:w="9213" w:type="dxa"/>
              </w:tcPr>
              <w:p w14:paraId="48C4976B" w14:textId="77777777" w:rsidR="00F55458" w:rsidRDefault="008253E7" w:rsidP="00EF2233">
                <w:pPr>
                  <w:rPr>
                    <w:i/>
                    <w:iCs/>
                    <w:color w:val="595959" w:themeColor="text1" w:themeTint="A6"/>
                    <w:sz w:val="18"/>
                    <w:szCs w:val="18"/>
                  </w:rPr>
                </w:pPr>
                <w:r w:rsidRPr="00357C35">
                  <w:rPr>
                    <w:i/>
                    <w:iCs/>
                    <w:color w:val="595959" w:themeColor="text1" w:themeTint="A6"/>
                    <w:sz w:val="18"/>
                    <w:szCs w:val="18"/>
                  </w:rPr>
                  <w:t>[</w:t>
                </w:r>
                <w:r w:rsidR="001376FE">
                  <w:rPr>
                    <w:i/>
                    <w:iCs/>
                    <w:color w:val="595959" w:themeColor="text1" w:themeTint="A6"/>
                    <w:sz w:val="18"/>
                    <w:szCs w:val="18"/>
                  </w:rPr>
                  <w:t xml:space="preserve">For </w:t>
                </w:r>
                <w:r w:rsidR="00CF370A">
                  <w:rPr>
                    <w:i/>
                    <w:iCs/>
                    <w:color w:val="595959" w:themeColor="text1" w:themeTint="A6"/>
                    <w:sz w:val="18"/>
                    <w:szCs w:val="18"/>
                  </w:rPr>
                  <w:t>the suppliers that are iden</w:t>
                </w:r>
                <w:r w:rsidR="00E513CC">
                  <w:rPr>
                    <w:i/>
                    <w:iCs/>
                    <w:color w:val="595959" w:themeColor="text1" w:themeTint="A6"/>
                    <w:sz w:val="18"/>
                    <w:szCs w:val="18"/>
                  </w:rPr>
                  <w:t xml:space="preserve">tified on the risk stratification </w:t>
                </w:r>
                <w:r w:rsidR="005110BE">
                  <w:rPr>
                    <w:i/>
                    <w:iCs/>
                    <w:color w:val="595959" w:themeColor="text1" w:themeTint="A6"/>
                    <w:sz w:val="18"/>
                    <w:szCs w:val="18"/>
                  </w:rPr>
                  <w:t>suppliers</w:t>
                </w:r>
                <w:r w:rsidR="00E513CC">
                  <w:rPr>
                    <w:i/>
                    <w:iCs/>
                    <w:color w:val="595959" w:themeColor="text1" w:themeTint="A6"/>
                    <w:sz w:val="18"/>
                    <w:szCs w:val="18"/>
                  </w:rPr>
                  <w:t xml:space="preserve"> register</w:t>
                </w:r>
                <w:r w:rsidR="005110BE">
                  <w:rPr>
                    <w:i/>
                    <w:iCs/>
                    <w:color w:val="595959" w:themeColor="text1" w:themeTint="A6"/>
                    <w:sz w:val="18"/>
                    <w:szCs w:val="18"/>
                  </w:rPr>
                  <w:t xml:space="preserve">, the obtaining of </w:t>
                </w:r>
                <w:r w:rsidR="00B3285D">
                  <w:rPr>
                    <w:i/>
                    <w:iCs/>
                    <w:color w:val="595959" w:themeColor="text1" w:themeTint="A6"/>
                    <w:sz w:val="18"/>
                    <w:szCs w:val="18"/>
                  </w:rPr>
                  <w:t xml:space="preserve">DSPT </w:t>
                </w:r>
                <w:r w:rsidR="005110BE">
                  <w:rPr>
                    <w:i/>
                    <w:iCs/>
                    <w:color w:val="595959" w:themeColor="text1" w:themeTint="A6"/>
                    <w:sz w:val="18"/>
                    <w:szCs w:val="18"/>
                  </w:rPr>
                  <w:t xml:space="preserve">assurance will be </w:t>
                </w:r>
                <w:r w:rsidR="00B3285D">
                  <w:rPr>
                    <w:i/>
                    <w:iCs/>
                    <w:color w:val="595959" w:themeColor="text1" w:themeTint="A6"/>
                    <w:sz w:val="18"/>
                    <w:szCs w:val="18"/>
                  </w:rPr>
                  <w:t xml:space="preserve">undertaken on the ICBs behalf by NHSE and CAG. </w:t>
                </w:r>
              </w:p>
              <w:p w14:paraId="35BFDB0C" w14:textId="2ADE1C79" w:rsidR="008253E7" w:rsidRPr="00357C35" w:rsidRDefault="00CF4BB3" w:rsidP="00EF2233">
                <w:pPr>
                  <w:rPr>
                    <w:i/>
                    <w:iCs/>
                    <w:color w:val="595959" w:themeColor="text1" w:themeTint="A6"/>
                    <w:sz w:val="18"/>
                    <w:szCs w:val="18"/>
                  </w:rPr>
                </w:pPr>
                <w:r>
                  <w:rPr>
                    <w:i/>
                    <w:iCs/>
                    <w:color w:val="595959" w:themeColor="text1" w:themeTint="A6"/>
                    <w:sz w:val="18"/>
                    <w:szCs w:val="18"/>
                  </w:rPr>
                  <w:t xml:space="preserve">If the risk stratification suppler is not on the </w:t>
                </w:r>
                <w:r w:rsidR="009C2E42">
                  <w:rPr>
                    <w:i/>
                    <w:iCs/>
                    <w:color w:val="595959" w:themeColor="text1" w:themeTint="A6"/>
                    <w:sz w:val="18"/>
                    <w:szCs w:val="18"/>
                  </w:rPr>
                  <w:t>register,</w:t>
                </w:r>
                <w:r>
                  <w:rPr>
                    <w:i/>
                    <w:iCs/>
                    <w:color w:val="595959" w:themeColor="text1" w:themeTint="A6"/>
                    <w:sz w:val="18"/>
                    <w:szCs w:val="18"/>
                  </w:rPr>
                  <w:t xml:space="preserve"> then </w:t>
                </w:r>
                <w:r w:rsidR="00F55458">
                  <w:rPr>
                    <w:i/>
                    <w:iCs/>
                    <w:color w:val="595959" w:themeColor="text1" w:themeTint="A6"/>
                    <w:sz w:val="18"/>
                    <w:szCs w:val="18"/>
                  </w:rPr>
                  <w:t xml:space="preserve">please </w:t>
                </w:r>
                <w:r w:rsidR="002D4729">
                  <w:rPr>
                    <w:i/>
                    <w:iCs/>
                    <w:color w:val="595959" w:themeColor="text1" w:themeTint="A6"/>
                    <w:sz w:val="18"/>
                    <w:szCs w:val="18"/>
                  </w:rPr>
                  <w:t>follow</w:t>
                </w:r>
                <w:r w:rsidR="00F55458">
                  <w:rPr>
                    <w:i/>
                    <w:iCs/>
                    <w:color w:val="595959" w:themeColor="text1" w:themeTint="A6"/>
                    <w:sz w:val="18"/>
                    <w:szCs w:val="18"/>
                  </w:rPr>
                  <w:t xml:space="preserve"> this</w:t>
                </w:r>
                <w:r w:rsidR="002D4729">
                  <w:rPr>
                    <w:i/>
                    <w:iCs/>
                    <w:color w:val="595959" w:themeColor="text1" w:themeTint="A6"/>
                    <w:sz w:val="18"/>
                    <w:szCs w:val="18"/>
                  </w:rPr>
                  <w:t xml:space="preserve"> </w:t>
                </w:r>
                <w:r>
                  <w:rPr>
                    <w:i/>
                    <w:iCs/>
                    <w:color w:val="595959" w:themeColor="text1" w:themeTint="A6"/>
                    <w:sz w:val="18"/>
                    <w:szCs w:val="18"/>
                  </w:rPr>
                  <w:t xml:space="preserve">process </w:t>
                </w:r>
                <w:r w:rsidR="00F55458">
                  <w:rPr>
                    <w:i/>
                    <w:iCs/>
                    <w:color w:val="595959" w:themeColor="text1" w:themeTint="A6"/>
                    <w:sz w:val="18"/>
                    <w:szCs w:val="18"/>
                  </w:rPr>
                  <w:t>to obtain assurance</w:t>
                </w:r>
                <w:r w:rsidR="006F6B10">
                  <w:rPr>
                    <w:i/>
                    <w:iCs/>
                    <w:color w:val="595959" w:themeColor="text1" w:themeTint="A6"/>
                    <w:sz w:val="18"/>
                    <w:szCs w:val="18"/>
                  </w:rPr>
                  <w:t xml:space="preserve">. </w:t>
                </w:r>
                <w:r w:rsidR="008253E7" w:rsidRPr="00357C35">
                  <w:rPr>
                    <w:i/>
                    <w:iCs/>
                    <w:color w:val="595959" w:themeColor="text1" w:themeTint="A6"/>
                    <w:sz w:val="18"/>
                    <w:szCs w:val="18"/>
                  </w:rPr>
                  <w:t>The ICB should contact the NHS England DSPT Team via (exeter.helpdesk@nhs.net) to request NHS England review of the supplier’s DSPT submission. This confirmation, as per DHSC, needs to be in place prior to Regulation 5 support.</w:t>
                </w:r>
                <w:r w:rsidR="008253E7">
                  <w:rPr>
                    <w:i/>
                    <w:iCs/>
                    <w:color w:val="595959" w:themeColor="text1" w:themeTint="A6"/>
                    <w:sz w:val="18"/>
                    <w:szCs w:val="18"/>
                  </w:rPr>
                  <w:t xml:space="preserve"> </w:t>
                </w:r>
                <w:r w:rsidR="008253E7" w:rsidRPr="00357C35">
                  <w:rPr>
                    <w:i/>
                    <w:iCs/>
                    <w:color w:val="595959" w:themeColor="text1" w:themeTint="A6"/>
                    <w:sz w:val="18"/>
                    <w:szCs w:val="18"/>
                  </w:rPr>
                  <w:t xml:space="preserve">The evidence received back from Exeter will be an email with confirmation that all risk stratification suppliers have achieved a Standards Met or above DSPT 22/23 assessment. </w:t>
                </w:r>
                <w:r w:rsidR="008253E7">
                  <w:rPr>
                    <w:i/>
                    <w:iCs/>
                    <w:color w:val="595959" w:themeColor="text1" w:themeTint="A6"/>
                    <w:sz w:val="18"/>
                    <w:szCs w:val="18"/>
                  </w:rPr>
                  <w:t xml:space="preserve">The evidence must be </w:t>
                </w:r>
                <w:r w:rsidR="008253E7" w:rsidRPr="00357C35">
                  <w:rPr>
                    <w:i/>
                    <w:iCs/>
                    <w:color w:val="595959" w:themeColor="text1" w:themeTint="A6"/>
                    <w:sz w:val="18"/>
                    <w:szCs w:val="18"/>
                  </w:rPr>
                  <w:t xml:space="preserve">included </w:t>
                </w:r>
                <w:r w:rsidR="008253E7">
                  <w:rPr>
                    <w:i/>
                    <w:iCs/>
                    <w:color w:val="595959" w:themeColor="text1" w:themeTint="A6"/>
                    <w:sz w:val="18"/>
                    <w:szCs w:val="18"/>
                  </w:rPr>
                  <w:t>in the A</w:t>
                </w:r>
                <w:r w:rsidR="008253E7" w:rsidRPr="00357C35">
                  <w:rPr>
                    <w:i/>
                    <w:iCs/>
                    <w:color w:val="595959" w:themeColor="text1" w:themeTint="A6"/>
                    <w:sz w:val="18"/>
                    <w:szCs w:val="18"/>
                  </w:rPr>
                  <w:t>ppendi</w:t>
                </w:r>
                <w:r w:rsidR="008253E7">
                  <w:rPr>
                    <w:i/>
                    <w:iCs/>
                    <w:color w:val="595959" w:themeColor="text1" w:themeTint="A6"/>
                    <w:sz w:val="18"/>
                    <w:szCs w:val="18"/>
                  </w:rPr>
                  <w:t>ces</w:t>
                </w:r>
                <w:r w:rsidR="008253E7" w:rsidRPr="00357C35">
                  <w:rPr>
                    <w:i/>
                    <w:iCs/>
                    <w:color w:val="595959" w:themeColor="text1" w:themeTint="A6"/>
                    <w:sz w:val="18"/>
                    <w:szCs w:val="18"/>
                  </w:rPr>
                  <w:t xml:space="preserve"> </w:t>
                </w:r>
                <w:r w:rsidR="008253E7">
                  <w:rPr>
                    <w:i/>
                    <w:iCs/>
                    <w:color w:val="595959" w:themeColor="text1" w:themeTint="A6"/>
                    <w:sz w:val="18"/>
                    <w:szCs w:val="18"/>
                  </w:rPr>
                  <w:t xml:space="preserve">List </w:t>
                </w:r>
                <w:r w:rsidR="008253E7" w:rsidRPr="00357C35">
                  <w:rPr>
                    <w:i/>
                    <w:iCs/>
                    <w:color w:val="595959" w:themeColor="text1" w:themeTint="A6"/>
                    <w:sz w:val="18"/>
                    <w:szCs w:val="18"/>
                  </w:rPr>
                  <w:t>as a full document and not embedded]</w:t>
                </w:r>
              </w:p>
            </w:tc>
          </w:tr>
          <w:tr w:rsidR="008253E7" w14:paraId="2FE22BAE" w14:textId="77777777" w:rsidTr="002844E8">
            <w:tc>
              <w:tcPr>
                <w:tcW w:w="4390" w:type="dxa"/>
                <w:vMerge/>
              </w:tcPr>
              <w:p w14:paraId="56254E15" w14:textId="77777777" w:rsidR="008253E7" w:rsidRPr="000007EC" w:rsidRDefault="008253E7" w:rsidP="00661FF7">
                <w:pPr>
                  <w:spacing w:before="240"/>
                  <w:rPr>
                    <w:b/>
                    <w:bCs/>
                  </w:rPr>
                </w:pPr>
              </w:p>
            </w:tc>
            <w:tc>
              <w:tcPr>
                <w:tcW w:w="9213" w:type="dxa"/>
              </w:tcPr>
              <w:p w14:paraId="703156F7" w14:textId="279BE8AA" w:rsidR="008253E7" w:rsidRPr="00357C35" w:rsidRDefault="008253E7" w:rsidP="00EF2233">
                <w:pPr>
                  <w:rPr>
                    <w:i/>
                    <w:iCs/>
                    <w:color w:val="595959" w:themeColor="text1" w:themeTint="A6"/>
                    <w:sz w:val="18"/>
                    <w:szCs w:val="18"/>
                  </w:rPr>
                </w:pPr>
                <w:r>
                  <w:rPr>
                    <w:i/>
                    <w:iCs/>
                    <w:color w:val="595959" w:themeColor="text1" w:themeTint="A6"/>
                    <w:sz w:val="18"/>
                    <w:szCs w:val="18"/>
                  </w:rPr>
                  <w:t xml:space="preserve">Appendix </w:t>
                </w:r>
                <w:r w:rsidR="00481455">
                  <w:rPr>
                    <w:i/>
                    <w:iCs/>
                    <w:color w:val="595959" w:themeColor="text1" w:themeTint="A6"/>
                    <w:sz w:val="18"/>
                    <w:szCs w:val="18"/>
                  </w:rPr>
                  <w:t>i</w:t>
                </w:r>
                <w:r>
                  <w:rPr>
                    <w:i/>
                    <w:iCs/>
                    <w:color w:val="595959" w:themeColor="text1" w:themeTint="A6"/>
                    <w:sz w:val="18"/>
                    <w:szCs w:val="18"/>
                  </w:rPr>
                  <w:t xml:space="preserve">nformation </w:t>
                </w:r>
                <w:r w:rsidR="00481455">
                  <w:rPr>
                    <w:i/>
                    <w:iCs/>
                    <w:color w:val="595959" w:themeColor="text1" w:themeTint="A6"/>
                    <w:sz w:val="18"/>
                    <w:szCs w:val="18"/>
                  </w:rPr>
                  <w:t>reference</w:t>
                </w:r>
                <w:r>
                  <w:rPr>
                    <w:i/>
                    <w:iCs/>
                    <w:color w:val="595959" w:themeColor="text1" w:themeTint="A6"/>
                    <w:sz w:val="18"/>
                    <w:szCs w:val="18"/>
                  </w:rPr>
                  <w:t xml:space="preserve"> </w:t>
                </w:r>
              </w:p>
            </w:tc>
          </w:tr>
          <w:tr w:rsidR="00094D34" w14:paraId="0E0F48B2" w14:textId="77777777" w:rsidTr="002844E8">
            <w:tc>
              <w:tcPr>
                <w:tcW w:w="4390" w:type="dxa"/>
              </w:tcPr>
              <w:p w14:paraId="1937864F" w14:textId="12BF1150" w:rsidR="00094D34" w:rsidRPr="00C77FF1" w:rsidRDefault="00094D34" w:rsidP="00094D34">
                <w:pPr>
                  <w:keepLines/>
                  <w:spacing w:before="120" w:after="120"/>
                  <w:rPr>
                    <w:b/>
                    <w:bCs/>
                    <w:szCs w:val="24"/>
                  </w:rPr>
                </w:pPr>
                <w:r w:rsidRPr="00C77FF1">
                  <w:rPr>
                    <w:b/>
                    <w:bCs/>
                    <w:szCs w:val="24"/>
                  </w:rPr>
                  <w:t>Provide confirm</w:t>
                </w:r>
                <w:r w:rsidR="00CA35CB">
                  <w:rPr>
                    <w:b/>
                    <w:bCs/>
                    <w:szCs w:val="24"/>
                  </w:rPr>
                  <w:t>ation</w:t>
                </w:r>
                <w:r w:rsidRPr="00C77FF1">
                  <w:rPr>
                    <w:b/>
                    <w:bCs/>
                    <w:szCs w:val="24"/>
                  </w:rPr>
                  <w:t xml:space="preserve"> that the </w:t>
                </w:r>
                <w:r w:rsidR="00AE306A" w:rsidRPr="00AE306A">
                  <w:rPr>
                    <w:b/>
                    <w:bCs/>
                    <w:szCs w:val="24"/>
                  </w:rPr>
                  <w:t>risk stratification supplier(</w:t>
                </w:r>
                <w:r w:rsidR="009C2E42" w:rsidRPr="00AE306A">
                  <w:rPr>
                    <w:b/>
                    <w:bCs/>
                    <w:szCs w:val="24"/>
                  </w:rPr>
                  <w:t xml:space="preserve">s) </w:t>
                </w:r>
                <w:r w:rsidR="009C2E42" w:rsidRPr="00C77FF1">
                  <w:rPr>
                    <w:b/>
                    <w:bCs/>
                    <w:szCs w:val="24"/>
                  </w:rPr>
                  <w:t>have</w:t>
                </w:r>
                <w:r w:rsidRPr="00C77FF1">
                  <w:rPr>
                    <w:b/>
                    <w:bCs/>
                    <w:szCs w:val="24"/>
                  </w:rPr>
                  <w:t xml:space="preserve"> registered with the Information Commissioner’s Office. </w:t>
                </w:r>
              </w:p>
              <w:p w14:paraId="2ABDE453" w14:textId="77777777" w:rsidR="00094D34" w:rsidRPr="000007EC" w:rsidRDefault="00094D34" w:rsidP="00094D34">
                <w:pPr>
                  <w:spacing w:before="240"/>
                  <w:rPr>
                    <w:b/>
                    <w:bCs/>
                  </w:rPr>
                </w:pPr>
              </w:p>
            </w:tc>
            <w:tc>
              <w:tcPr>
                <w:tcW w:w="9213" w:type="dxa"/>
              </w:tcPr>
              <w:p w14:paraId="51ED0CC2" w14:textId="02284956" w:rsidR="00094D34" w:rsidRDefault="00094D34" w:rsidP="00094D34">
                <w:pPr>
                  <w:rPr>
                    <w:i/>
                    <w:iCs/>
                    <w:color w:val="595959" w:themeColor="text1" w:themeTint="A6"/>
                    <w:sz w:val="18"/>
                    <w:szCs w:val="18"/>
                  </w:rPr>
                </w:pPr>
                <w:r w:rsidRPr="009022C3">
                  <w:rPr>
                    <w:i/>
                    <w:iCs/>
                    <w:color w:val="7F7F7F" w:themeColor="text1" w:themeTint="80"/>
                    <w:sz w:val="18"/>
                    <w:szCs w:val="18"/>
                  </w:rPr>
                  <w:t>[ICO registration number for each risk stratification supplier]</w:t>
                </w:r>
              </w:p>
            </w:tc>
          </w:tr>
        </w:tbl>
        <w:p w14:paraId="34F09CCC" w14:textId="77777777" w:rsidR="0081463E" w:rsidRDefault="0081463E" w:rsidP="000433CE"/>
        <w:p w14:paraId="7B1D1540" w14:textId="6F338661" w:rsidR="0005669F" w:rsidRDefault="0005669F">
          <w:pPr>
            <w:spacing w:after="200" w:line="276" w:lineRule="auto"/>
            <w:rPr>
              <w:rFonts w:eastAsiaTheme="majorEastAsia" w:cstheme="majorBidi"/>
              <w:b/>
              <w:bCs/>
              <w:color w:val="003087"/>
              <w:sz w:val="32"/>
              <w:szCs w:val="26"/>
            </w:rPr>
          </w:pPr>
        </w:p>
        <w:p w14:paraId="0DE8BEA7" w14:textId="08872B7F" w:rsidR="0081463E" w:rsidRDefault="00094D34" w:rsidP="00EA34DE">
          <w:pPr>
            <w:pStyle w:val="Heading2"/>
          </w:pPr>
          <w:r>
            <w:t>I</w:t>
          </w:r>
          <w:r w:rsidR="00EA34DE">
            <w:t>nform</w:t>
          </w:r>
          <w:r>
            <w:t>ing</w:t>
          </w:r>
          <w:r w:rsidR="00EA34DE">
            <w:t xml:space="preserve"> the patient </w:t>
          </w:r>
          <w:r w:rsidR="0005669F">
            <w:t>population</w:t>
          </w:r>
        </w:p>
        <w:p w14:paraId="34933F8A" w14:textId="615FF596" w:rsidR="00E46FCF" w:rsidRDefault="00E46FCF" w:rsidP="00E46FCF">
          <w:r>
            <w:t xml:space="preserve">It is important that the patient population is informed about the use of their information for risk stratification and </w:t>
          </w:r>
          <w:proofErr w:type="gramStart"/>
          <w:r>
            <w:t>have the opportunity to</w:t>
          </w:r>
          <w:proofErr w:type="gramEnd"/>
          <w:r>
            <w:t xml:space="preserve"> opt out. Below, you should detail how you will inform the patient population of the use of their identifiable data without consent (patient notification), submitting examples of the materials to be used.</w:t>
          </w:r>
        </w:p>
        <w:tbl>
          <w:tblPr>
            <w:tblStyle w:val="TableGrid"/>
            <w:tblW w:w="0" w:type="auto"/>
            <w:tblLook w:val="04A0" w:firstRow="1" w:lastRow="0" w:firstColumn="1" w:lastColumn="0" w:noHBand="0" w:noVBand="1"/>
          </w:tblPr>
          <w:tblGrid>
            <w:gridCol w:w="4508"/>
            <w:gridCol w:w="9095"/>
          </w:tblGrid>
          <w:tr w:rsidR="009548A5" w14:paraId="106319AD" w14:textId="77777777" w:rsidTr="002844E8">
            <w:tc>
              <w:tcPr>
                <w:tcW w:w="4508" w:type="dxa"/>
              </w:tcPr>
              <w:p w14:paraId="5F87FC41" w14:textId="77777777" w:rsidR="009548A5" w:rsidRDefault="009548A5" w:rsidP="00E46FCF">
                <w:pPr>
                  <w:rPr>
                    <w:b/>
                    <w:bCs/>
                  </w:rPr>
                </w:pPr>
                <w:r w:rsidRPr="009548A5">
                  <w:rPr>
                    <w:b/>
                    <w:bCs/>
                  </w:rPr>
                  <w:t>What routes will you use to inform your patient population how their data is used to undertake risk stratification</w:t>
                </w:r>
                <w:r>
                  <w:rPr>
                    <w:b/>
                    <w:bCs/>
                  </w:rPr>
                  <w:t>.</w:t>
                </w:r>
              </w:p>
              <w:p w14:paraId="0B0EF2B1" w14:textId="6FA04282" w:rsidR="009548A5" w:rsidRPr="00DC1BFC" w:rsidRDefault="009548A5" w:rsidP="00E46FCF">
                <w:pPr>
                  <w:rPr>
                    <w:i/>
                    <w:iCs/>
                  </w:rPr>
                </w:pPr>
                <w:r w:rsidRPr="00DC1BFC">
                  <w:rPr>
                    <w:i/>
                    <w:iCs/>
                    <w:sz w:val="22"/>
                    <w:szCs w:val="20"/>
                  </w:rPr>
                  <w:t>Communication routes should be appropriate to the scale of disclosure. Examples include</w:t>
                </w:r>
                <w:r w:rsidR="00496594" w:rsidRPr="00DC1BFC">
                  <w:rPr>
                    <w:i/>
                    <w:iCs/>
                    <w:sz w:val="22"/>
                    <w:szCs w:val="20"/>
                  </w:rPr>
                  <w:t xml:space="preserve"> (but not limited to)</w:t>
                </w:r>
                <w:r w:rsidRPr="00DC1BFC">
                  <w:rPr>
                    <w:i/>
                    <w:iCs/>
                    <w:sz w:val="22"/>
                    <w:szCs w:val="20"/>
                  </w:rPr>
                  <w:t xml:space="preserve"> posters/leaflets at GP practices, information on GP websites, </w:t>
                </w:r>
                <w:r w:rsidR="00496594" w:rsidRPr="00DC1BFC">
                  <w:rPr>
                    <w:i/>
                    <w:iCs/>
                    <w:sz w:val="22"/>
                    <w:szCs w:val="20"/>
                  </w:rPr>
                  <w:t>letter to patients</w:t>
                </w:r>
                <w:r w:rsidR="003C0404" w:rsidRPr="00DC1BFC">
                  <w:rPr>
                    <w:i/>
                    <w:iCs/>
                    <w:sz w:val="22"/>
                    <w:szCs w:val="20"/>
                  </w:rPr>
                  <w:t>, social media</w:t>
                </w:r>
                <w:r w:rsidR="00DC1BFC" w:rsidRPr="00DC1BFC">
                  <w:rPr>
                    <w:i/>
                    <w:iCs/>
                    <w:sz w:val="22"/>
                    <w:szCs w:val="20"/>
                  </w:rPr>
                  <w:t>, local media</w:t>
                </w:r>
                <w:r w:rsidR="003C0404" w:rsidRPr="00DC1BFC">
                  <w:rPr>
                    <w:i/>
                    <w:iCs/>
                    <w:sz w:val="22"/>
                    <w:szCs w:val="20"/>
                  </w:rPr>
                  <w:t>. Sole use of GDPR privacy notices is not considered adequate. CAG encourages a layered approach to patient notification.</w:t>
                </w:r>
              </w:p>
            </w:tc>
            <w:tc>
              <w:tcPr>
                <w:tcW w:w="9095" w:type="dxa"/>
              </w:tcPr>
              <w:p w14:paraId="57812486" w14:textId="26B72875" w:rsidR="009548A5" w:rsidRPr="00357C35" w:rsidRDefault="00357C35" w:rsidP="00E46FCF">
                <w:pPr>
                  <w:rPr>
                    <w:i/>
                    <w:iCs/>
                    <w:sz w:val="18"/>
                    <w:szCs w:val="18"/>
                  </w:rPr>
                </w:pPr>
                <w:r>
                  <w:rPr>
                    <w:i/>
                    <w:iCs/>
                    <w:color w:val="595959" w:themeColor="text1" w:themeTint="A6"/>
                    <w:sz w:val="18"/>
                    <w:szCs w:val="18"/>
                  </w:rPr>
                  <w:t>[</w:t>
                </w:r>
                <w:r w:rsidR="002704C8">
                  <w:rPr>
                    <w:i/>
                    <w:iCs/>
                    <w:color w:val="595959" w:themeColor="text1" w:themeTint="A6"/>
                    <w:sz w:val="18"/>
                    <w:szCs w:val="18"/>
                  </w:rPr>
                  <w:t>Link to the ICB Privacy Notice</w:t>
                </w:r>
                <w:r w:rsidR="00C21773">
                  <w:rPr>
                    <w:i/>
                    <w:iCs/>
                    <w:color w:val="595959" w:themeColor="text1" w:themeTint="A6"/>
                    <w:sz w:val="18"/>
                    <w:szCs w:val="18"/>
                  </w:rPr>
                  <w:t xml:space="preserve"> and </w:t>
                </w:r>
                <w:r w:rsidR="00F90ACC">
                  <w:rPr>
                    <w:i/>
                    <w:iCs/>
                    <w:color w:val="595959" w:themeColor="text1" w:themeTint="A6"/>
                    <w:sz w:val="18"/>
                    <w:szCs w:val="18"/>
                  </w:rPr>
                  <w:t xml:space="preserve">an extract of </w:t>
                </w:r>
                <w:r w:rsidR="00C21773">
                  <w:rPr>
                    <w:i/>
                    <w:iCs/>
                    <w:color w:val="595959" w:themeColor="text1" w:themeTint="A6"/>
                    <w:sz w:val="18"/>
                    <w:szCs w:val="18"/>
                  </w:rPr>
                  <w:t xml:space="preserve">the specific </w:t>
                </w:r>
                <w:r w:rsidR="00F90ACC">
                  <w:rPr>
                    <w:i/>
                    <w:iCs/>
                    <w:color w:val="595959" w:themeColor="text1" w:themeTint="A6"/>
                    <w:sz w:val="18"/>
                    <w:szCs w:val="18"/>
                  </w:rPr>
                  <w:t>wording regarding risk stratification</w:t>
                </w:r>
                <w:r w:rsidR="0031122E">
                  <w:rPr>
                    <w:i/>
                    <w:iCs/>
                    <w:color w:val="595959" w:themeColor="text1" w:themeTint="A6"/>
                    <w:sz w:val="18"/>
                    <w:szCs w:val="18"/>
                  </w:rPr>
                  <w:t xml:space="preserve"> activities</w:t>
                </w:r>
                <w:r w:rsidR="00F90ACC">
                  <w:rPr>
                    <w:i/>
                    <w:iCs/>
                    <w:color w:val="595959" w:themeColor="text1" w:themeTint="A6"/>
                    <w:sz w:val="18"/>
                    <w:szCs w:val="18"/>
                  </w:rPr>
                  <w:t>.</w:t>
                </w:r>
                <w:r w:rsidR="002704C8">
                  <w:rPr>
                    <w:i/>
                    <w:iCs/>
                    <w:color w:val="595959" w:themeColor="text1" w:themeTint="A6"/>
                    <w:sz w:val="18"/>
                    <w:szCs w:val="18"/>
                  </w:rPr>
                  <w:t xml:space="preserve"> </w:t>
                </w:r>
                <w:r>
                  <w:rPr>
                    <w:i/>
                    <w:iCs/>
                    <w:color w:val="595959" w:themeColor="text1" w:themeTint="A6"/>
                    <w:sz w:val="18"/>
                    <w:szCs w:val="18"/>
                  </w:rPr>
                  <w:t>C</w:t>
                </w:r>
                <w:r w:rsidR="00DD3B81" w:rsidRPr="00357C35">
                  <w:rPr>
                    <w:i/>
                    <w:iCs/>
                    <w:color w:val="595959" w:themeColor="text1" w:themeTint="A6"/>
                    <w:sz w:val="18"/>
                    <w:szCs w:val="18"/>
                  </w:rPr>
                  <w:t>ommunications should include the details of the risk stratification suppliers and links to further information</w:t>
                </w:r>
                <w:r>
                  <w:rPr>
                    <w:i/>
                    <w:iCs/>
                    <w:color w:val="595959" w:themeColor="text1" w:themeTint="A6"/>
                    <w:sz w:val="18"/>
                    <w:szCs w:val="18"/>
                  </w:rPr>
                  <w:t xml:space="preserve"> and</w:t>
                </w:r>
                <w:r w:rsidR="00DD3B81" w:rsidRPr="00357C35">
                  <w:rPr>
                    <w:i/>
                    <w:iCs/>
                    <w:color w:val="595959" w:themeColor="text1" w:themeTint="A6"/>
                    <w:sz w:val="18"/>
                    <w:szCs w:val="18"/>
                  </w:rPr>
                  <w:t>, if necessary, available in variety of formats]</w:t>
                </w:r>
                <w:r w:rsidR="005214B5">
                  <w:rPr>
                    <w:i/>
                    <w:iCs/>
                    <w:color w:val="595959" w:themeColor="text1" w:themeTint="A6"/>
                    <w:sz w:val="18"/>
                    <w:szCs w:val="18"/>
                  </w:rPr>
                  <w:t xml:space="preserve"> </w:t>
                </w:r>
              </w:p>
            </w:tc>
          </w:tr>
          <w:tr w:rsidR="005E6893" w14:paraId="12AF46F7" w14:textId="77777777" w:rsidTr="00853C73">
            <w:tc>
              <w:tcPr>
                <w:tcW w:w="4508" w:type="dxa"/>
                <w:vMerge w:val="restart"/>
              </w:tcPr>
              <w:p w14:paraId="0B02D251" w14:textId="77777777" w:rsidR="005E6893" w:rsidRPr="00357C35" w:rsidRDefault="005E6893" w:rsidP="00094D34">
                <w:pPr>
                  <w:rPr>
                    <w:b/>
                    <w:bCs/>
                  </w:rPr>
                </w:pPr>
                <w:r w:rsidRPr="00357C35">
                  <w:rPr>
                    <w:b/>
                    <w:bCs/>
                  </w:rPr>
                  <w:t xml:space="preserve">To supplement this form, please confirm you have provided an example of the materials used to inform the patient population. </w:t>
                </w:r>
              </w:p>
              <w:p w14:paraId="6270D54C" w14:textId="0581C4F3" w:rsidR="005E6893" w:rsidRDefault="005E6893" w:rsidP="00357C35">
                <w:pPr>
                  <w:pStyle w:val="ListParagraph"/>
                  <w:numPr>
                    <w:ilvl w:val="0"/>
                    <w:numId w:val="0"/>
                  </w:numPr>
                  <w:ind w:left="318"/>
                </w:pPr>
              </w:p>
            </w:tc>
            <w:tc>
              <w:tcPr>
                <w:tcW w:w="9095" w:type="dxa"/>
              </w:tcPr>
              <w:p w14:paraId="3705B9DD" w14:textId="077B176F" w:rsidR="005E6893" w:rsidRPr="002844E8" w:rsidRDefault="005E6893" w:rsidP="002C02C0">
                <w:pPr>
                  <w:rPr>
                    <w:i/>
                    <w:iCs/>
                    <w:color w:val="7F7F7F" w:themeColor="text1" w:themeTint="80"/>
                    <w:sz w:val="18"/>
                    <w:szCs w:val="18"/>
                  </w:rPr>
                </w:pPr>
                <w:r w:rsidRPr="002844E8">
                  <w:rPr>
                    <w:i/>
                    <w:iCs/>
                    <w:color w:val="7F7F7F" w:themeColor="text1" w:themeTint="80"/>
                    <w:sz w:val="18"/>
                    <w:szCs w:val="18"/>
                  </w:rPr>
                  <w:t>[The notification should include:</w:t>
                </w:r>
              </w:p>
              <w:p w14:paraId="136FC227" w14:textId="3CB5906A" w:rsidR="005E6893" w:rsidRPr="002844E8" w:rsidRDefault="005E6893" w:rsidP="002844E8">
                <w:pPr>
                  <w:pStyle w:val="ListParagraph"/>
                  <w:numPr>
                    <w:ilvl w:val="0"/>
                    <w:numId w:val="60"/>
                  </w:numPr>
                  <w:rPr>
                    <w:i/>
                    <w:iCs/>
                    <w:color w:val="7F7F7F" w:themeColor="text1" w:themeTint="80"/>
                    <w:sz w:val="18"/>
                    <w:szCs w:val="18"/>
                  </w:rPr>
                </w:pPr>
                <w:r w:rsidRPr="002844E8">
                  <w:rPr>
                    <w:i/>
                    <w:iCs/>
                    <w:color w:val="7F7F7F" w:themeColor="text1" w:themeTint="80"/>
                    <w:sz w:val="18"/>
                    <w:szCs w:val="18"/>
                  </w:rPr>
                  <w:t>a simple, clear description of the activity that includes details of the patient information to be used.</w:t>
                </w:r>
              </w:p>
              <w:p w14:paraId="10E5577B" w14:textId="77777777" w:rsidR="005E6893" w:rsidRPr="002844E8" w:rsidRDefault="005E6893" w:rsidP="002844E8">
                <w:pPr>
                  <w:pStyle w:val="ListParagraph"/>
                  <w:numPr>
                    <w:ilvl w:val="0"/>
                    <w:numId w:val="60"/>
                  </w:numPr>
                  <w:rPr>
                    <w:i/>
                    <w:iCs/>
                    <w:color w:val="7F7F7F" w:themeColor="text1" w:themeTint="80"/>
                    <w:sz w:val="18"/>
                    <w:szCs w:val="18"/>
                  </w:rPr>
                </w:pPr>
                <w:r w:rsidRPr="002844E8">
                  <w:rPr>
                    <w:i/>
                    <w:iCs/>
                    <w:color w:val="7F7F7F" w:themeColor="text1" w:themeTint="80"/>
                    <w:sz w:val="18"/>
                    <w:szCs w:val="18"/>
                  </w:rPr>
                  <w:t>How the processing is considered fair</w:t>
                </w:r>
              </w:p>
              <w:p w14:paraId="18FD6E89" w14:textId="77777777" w:rsidR="005E6893" w:rsidRPr="002844E8" w:rsidRDefault="005E6893" w:rsidP="002844E8">
                <w:pPr>
                  <w:pStyle w:val="ListParagraph"/>
                  <w:numPr>
                    <w:ilvl w:val="0"/>
                    <w:numId w:val="60"/>
                  </w:numPr>
                  <w:rPr>
                    <w:i/>
                    <w:iCs/>
                    <w:color w:val="7F7F7F" w:themeColor="text1" w:themeTint="80"/>
                    <w:sz w:val="18"/>
                    <w:szCs w:val="18"/>
                  </w:rPr>
                </w:pPr>
                <w:r w:rsidRPr="002844E8">
                  <w:rPr>
                    <w:i/>
                    <w:iCs/>
                    <w:color w:val="7F7F7F" w:themeColor="text1" w:themeTint="80"/>
                    <w:sz w:val="18"/>
                    <w:szCs w:val="18"/>
                  </w:rPr>
                  <w:t>How the transparency is being met</w:t>
                </w:r>
              </w:p>
              <w:p w14:paraId="5A019300" w14:textId="06F65E24" w:rsidR="005E6893" w:rsidRPr="002844E8" w:rsidRDefault="005E6893" w:rsidP="002844E8">
                <w:pPr>
                  <w:pStyle w:val="ListParagraph"/>
                  <w:numPr>
                    <w:ilvl w:val="0"/>
                    <w:numId w:val="60"/>
                  </w:numPr>
                  <w:rPr>
                    <w:i/>
                    <w:iCs/>
                    <w:color w:val="7F7F7F" w:themeColor="text1" w:themeTint="80"/>
                    <w:sz w:val="18"/>
                    <w:szCs w:val="18"/>
                  </w:rPr>
                </w:pPr>
                <w:r w:rsidRPr="002844E8">
                  <w:rPr>
                    <w:i/>
                    <w:iCs/>
                    <w:color w:val="7F7F7F" w:themeColor="text1" w:themeTint="80"/>
                    <w:sz w:val="18"/>
                    <w:szCs w:val="18"/>
                  </w:rPr>
                  <w:t>The statement that the activity is supported by S</w:t>
                </w:r>
                <w:r w:rsidR="008A15E5">
                  <w:rPr>
                    <w:i/>
                    <w:iCs/>
                    <w:color w:val="7F7F7F" w:themeColor="text1" w:themeTint="80"/>
                    <w:sz w:val="18"/>
                    <w:szCs w:val="18"/>
                  </w:rPr>
                  <w:t xml:space="preserve">ecretary </w:t>
                </w:r>
                <w:r w:rsidRPr="002844E8">
                  <w:rPr>
                    <w:i/>
                    <w:iCs/>
                    <w:color w:val="7F7F7F" w:themeColor="text1" w:themeTint="80"/>
                    <w:sz w:val="18"/>
                    <w:szCs w:val="18"/>
                  </w:rPr>
                  <w:t>of</w:t>
                </w:r>
                <w:r w:rsidR="008A15E5">
                  <w:rPr>
                    <w:i/>
                    <w:iCs/>
                    <w:color w:val="7F7F7F" w:themeColor="text1" w:themeTint="80"/>
                    <w:sz w:val="18"/>
                    <w:szCs w:val="18"/>
                  </w:rPr>
                  <w:t xml:space="preserve"> </w:t>
                </w:r>
                <w:r w:rsidRPr="002844E8">
                  <w:rPr>
                    <w:i/>
                    <w:iCs/>
                    <w:color w:val="7F7F7F" w:themeColor="text1" w:themeTint="80"/>
                    <w:sz w:val="18"/>
                    <w:szCs w:val="18"/>
                  </w:rPr>
                  <w:t>S</w:t>
                </w:r>
                <w:r w:rsidR="008A15E5">
                  <w:rPr>
                    <w:i/>
                    <w:iCs/>
                    <w:color w:val="7F7F7F" w:themeColor="text1" w:themeTint="80"/>
                    <w:sz w:val="18"/>
                    <w:szCs w:val="18"/>
                  </w:rPr>
                  <w:t>tate</w:t>
                </w:r>
                <w:r w:rsidRPr="002844E8">
                  <w:rPr>
                    <w:i/>
                    <w:iCs/>
                    <w:color w:val="7F7F7F" w:themeColor="text1" w:themeTint="80"/>
                    <w:sz w:val="18"/>
                    <w:szCs w:val="18"/>
                  </w:rPr>
                  <w:t xml:space="preserve"> under section 251 of the NHS Act 2006, following advice by the Confidentiality Advisory Group should be </w:t>
                </w:r>
                <w:proofErr w:type="gramStart"/>
                <w:r w:rsidR="00254FBD" w:rsidRPr="00254FBD">
                  <w:rPr>
                    <w:i/>
                    <w:iCs/>
                    <w:color w:val="7F7F7F" w:themeColor="text1" w:themeTint="80"/>
                    <w:sz w:val="18"/>
                    <w:szCs w:val="18"/>
                  </w:rPr>
                  <w:t>included</w:t>
                </w:r>
                <w:proofErr w:type="gramEnd"/>
              </w:p>
              <w:p w14:paraId="3E78CA61" w14:textId="77CED3A5" w:rsidR="005E6893" w:rsidRPr="002844E8" w:rsidRDefault="005E6893" w:rsidP="002844E8">
                <w:pPr>
                  <w:pStyle w:val="ListParagraph"/>
                  <w:numPr>
                    <w:ilvl w:val="0"/>
                    <w:numId w:val="60"/>
                  </w:numPr>
                  <w:rPr>
                    <w:i/>
                    <w:iCs/>
                    <w:color w:val="7F7F7F" w:themeColor="text1" w:themeTint="80"/>
                    <w:sz w:val="18"/>
                    <w:szCs w:val="18"/>
                  </w:rPr>
                </w:pPr>
                <w:r w:rsidRPr="002844E8">
                  <w:rPr>
                    <w:i/>
                    <w:iCs/>
                    <w:color w:val="7F7F7F" w:themeColor="text1" w:themeTint="80"/>
                    <w:sz w:val="18"/>
                    <w:szCs w:val="18"/>
                  </w:rPr>
                  <w:t xml:space="preserve">Confirmation that the NDOO’s will be </w:t>
                </w:r>
                <w:r w:rsidR="00254FBD" w:rsidRPr="00254FBD">
                  <w:rPr>
                    <w:i/>
                    <w:iCs/>
                    <w:color w:val="7F7F7F" w:themeColor="text1" w:themeTint="80"/>
                    <w:sz w:val="18"/>
                    <w:szCs w:val="18"/>
                  </w:rPr>
                  <w:t>applied</w:t>
                </w:r>
              </w:p>
              <w:p w14:paraId="6AB056F1" w14:textId="6390A0E1" w:rsidR="005E6893" w:rsidRPr="002844E8" w:rsidRDefault="005E6893" w:rsidP="002844E8">
                <w:pPr>
                  <w:pStyle w:val="ListParagraph"/>
                  <w:numPr>
                    <w:ilvl w:val="0"/>
                    <w:numId w:val="60"/>
                  </w:numPr>
                  <w:rPr>
                    <w:i/>
                    <w:iCs/>
                    <w:color w:val="7F7F7F" w:themeColor="text1" w:themeTint="80"/>
                    <w:sz w:val="18"/>
                    <w:szCs w:val="18"/>
                  </w:rPr>
                </w:pPr>
                <w:r w:rsidRPr="002844E8">
                  <w:rPr>
                    <w:i/>
                    <w:iCs/>
                    <w:color w:val="7F7F7F" w:themeColor="text1" w:themeTint="80"/>
                    <w:sz w:val="18"/>
                    <w:szCs w:val="18"/>
                  </w:rPr>
                  <w:t>How patients can opt out of their information being processed for risk stratification purposes</w:t>
                </w:r>
              </w:p>
              <w:p w14:paraId="1DB3B83A" w14:textId="4806C209" w:rsidR="005E6893" w:rsidRPr="002844E8" w:rsidRDefault="005E6893" w:rsidP="004071EB">
                <w:pPr>
                  <w:rPr>
                    <w:i/>
                    <w:iCs/>
                    <w:color w:val="7F7F7F" w:themeColor="text1" w:themeTint="80"/>
                    <w:sz w:val="18"/>
                    <w:szCs w:val="18"/>
                  </w:rPr>
                </w:pPr>
                <w:r w:rsidRPr="00A114B0">
                  <w:rPr>
                    <w:i/>
                    <w:iCs/>
                    <w:color w:val="7F7F7F" w:themeColor="text1" w:themeTint="80"/>
                    <w:sz w:val="18"/>
                    <w:szCs w:val="18"/>
                  </w:rPr>
                  <w:lastRenderedPageBreak/>
                  <w:t xml:space="preserve">CAG encourages the use of a layered approach to patient notification. That is, the initial notification materials provide a high-level overview of the activity, in line with the principles above, that also provides </w:t>
                </w:r>
                <w:r>
                  <w:rPr>
                    <w:i/>
                    <w:iCs/>
                    <w:noProof/>
                    <w:color w:val="7F7F7F" w:themeColor="text1" w:themeTint="80"/>
                    <w:sz w:val="18"/>
                    <w:szCs w:val="18"/>
                  </w:rPr>
                  <mc:AlternateContent>
                    <mc:Choice Requires="wps">
                      <w:drawing>
                        <wp:anchor distT="0" distB="0" distL="114300" distR="114300" simplePos="0" relativeHeight="251661312" behindDoc="0" locked="0" layoutInCell="1" allowOverlap="1" wp14:anchorId="60B0FB43" wp14:editId="6489284B">
                          <wp:simplePos x="0" y="0"/>
                          <wp:positionH relativeFrom="column">
                            <wp:posOffset>923290</wp:posOffset>
                          </wp:positionH>
                          <wp:positionV relativeFrom="paragraph">
                            <wp:posOffset>6746875</wp:posOffset>
                          </wp:positionV>
                          <wp:extent cx="342900" cy="1476375"/>
                          <wp:effectExtent l="0" t="0" r="19050" b="28575"/>
                          <wp:wrapNone/>
                          <wp:docPr id="2140332092" name="Rectangle 1"/>
                          <wp:cNvGraphicFramePr/>
                          <a:graphic xmlns:a="http://schemas.openxmlformats.org/drawingml/2006/main">
                            <a:graphicData uri="http://schemas.microsoft.com/office/word/2010/wordprocessingShape">
                              <wps:wsp>
                                <wps:cNvSpPr/>
                                <wps:spPr>
                                  <a:xfrm>
                                    <a:off x="0" y="0"/>
                                    <a:ext cx="342900" cy="147637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ECB78D" id="Rectangle 1" o:spid="_x0000_s1026" style="position:absolute;margin-left:72.7pt;margin-top:531.25pt;width:27pt;height:11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" fillcolor="#4f81bd [3204]" strokecolor="#0a121c [484]" strokeweight="2pt"/>
                      </w:pict>
                    </mc:Fallback>
                  </mc:AlternateContent>
                </w:r>
                <w:r w:rsidRPr="00A114B0">
                  <w:rPr>
                    <w:i/>
                    <w:iCs/>
                    <w:color w:val="7F7F7F" w:themeColor="text1" w:themeTint="80"/>
                    <w:sz w:val="18"/>
                    <w:szCs w:val="18"/>
                  </w:rPr>
                  <w:t xml:space="preserve">a link to provide further detailed information for those that wish to learn more </w:t>
                </w:r>
                <w:r w:rsidR="00FA446B" w:rsidRPr="00A114B0">
                  <w:rPr>
                    <w:i/>
                    <w:iCs/>
                    <w:color w:val="7F7F7F" w:themeColor="text1" w:themeTint="80"/>
                    <w:sz w:val="18"/>
                    <w:szCs w:val="18"/>
                  </w:rPr>
                  <w:t>e.g.,</w:t>
                </w:r>
                <w:r w:rsidRPr="00A114B0">
                  <w:rPr>
                    <w:i/>
                    <w:iCs/>
                    <w:color w:val="7F7F7F" w:themeColor="text1" w:themeTint="80"/>
                    <w:sz w:val="18"/>
                    <w:szCs w:val="18"/>
                  </w:rPr>
                  <w:t xml:space="preserve"> through use of a QR code and/or link to a website]</w:t>
                </w:r>
              </w:p>
            </w:tc>
          </w:tr>
          <w:tr w:rsidR="005E6893" w14:paraId="191059C3" w14:textId="77777777" w:rsidTr="008E2925">
            <w:tc>
              <w:tcPr>
                <w:tcW w:w="4508" w:type="dxa"/>
                <w:vMerge/>
              </w:tcPr>
              <w:p w14:paraId="065E3EDC" w14:textId="77777777" w:rsidR="005E6893" w:rsidRPr="00357C35" w:rsidRDefault="005E6893" w:rsidP="00094D34">
                <w:pPr>
                  <w:rPr>
                    <w:b/>
                    <w:bCs/>
                  </w:rPr>
                </w:pPr>
              </w:p>
            </w:tc>
            <w:tc>
              <w:tcPr>
                <w:tcW w:w="9095" w:type="dxa"/>
              </w:tcPr>
              <w:p w14:paraId="689E397D" w14:textId="1C98ED58" w:rsidR="005E6893" w:rsidRPr="005E6893" w:rsidRDefault="005E6893" w:rsidP="002C02C0">
                <w:pPr>
                  <w:rPr>
                    <w:i/>
                    <w:iCs/>
                    <w:color w:val="7F7F7F" w:themeColor="text1" w:themeTint="80"/>
                    <w:sz w:val="18"/>
                    <w:szCs w:val="18"/>
                  </w:rPr>
                </w:pPr>
                <w:r>
                  <w:rPr>
                    <w:i/>
                    <w:iCs/>
                    <w:color w:val="7F7F7F" w:themeColor="text1" w:themeTint="80"/>
                    <w:sz w:val="18"/>
                    <w:szCs w:val="18"/>
                  </w:rPr>
                  <w:t xml:space="preserve">Appendix information reference </w:t>
                </w:r>
              </w:p>
            </w:tc>
          </w:tr>
          <w:tr w:rsidR="005E6893" w14:paraId="0EED9EB6" w14:textId="77777777" w:rsidTr="00894331">
            <w:tc>
              <w:tcPr>
                <w:tcW w:w="4508" w:type="dxa"/>
                <w:vMerge w:val="restart"/>
              </w:tcPr>
              <w:p w14:paraId="0D83007A" w14:textId="77777777" w:rsidR="005E6893" w:rsidRPr="00FA2058" w:rsidRDefault="005E6893" w:rsidP="00357C35">
                <w:pPr>
                  <w:rPr>
                    <w:b/>
                    <w:bCs/>
                  </w:rPr>
                </w:pPr>
                <w:r w:rsidRPr="00FA2058">
                  <w:rPr>
                    <w:b/>
                    <w:bCs/>
                  </w:rPr>
                  <w:t>Please confirm:</w:t>
                </w:r>
              </w:p>
              <w:p w14:paraId="75B60888" w14:textId="77777777" w:rsidR="005E6893" w:rsidRPr="00094D34" w:rsidRDefault="005E6893" w:rsidP="00094D34">
                <w:pPr>
                  <w:rPr>
                    <w:b/>
                    <w:bCs/>
                  </w:rPr>
                </w:pPr>
                <w:r w:rsidRPr="00094D34">
                  <w:rPr>
                    <w:b/>
                    <w:bCs/>
                  </w:rPr>
                  <w:t>That the National Data Opt Out will be applied</w:t>
                </w:r>
              </w:p>
              <w:p w14:paraId="2BD72C19" w14:textId="78C3735A" w:rsidR="005E6893" w:rsidRPr="00FA2058" w:rsidRDefault="005E6893" w:rsidP="00094D34">
                <w:pPr>
                  <w:rPr>
                    <w:i/>
                    <w:iCs/>
                    <w:sz w:val="22"/>
                    <w:szCs w:val="20"/>
                  </w:rPr>
                </w:pPr>
                <w:r w:rsidRPr="00FA2058">
                  <w:rPr>
                    <w:i/>
                    <w:iCs/>
                    <w:sz w:val="22"/>
                    <w:szCs w:val="20"/>
                  </w:rPr>
                  <w:t>As per policy, all activities under Regulation 5 support are expected to apply the National Data Opt Out.</w:t>
                </w:r>
              </w:p>
              <w:p w14:paraId="63723CCB" w14:textId="24CABA67" w:rsidR="005E6893" w:rsidRDefault="005E6893" w:rsidP="00094D34">
                <w:pPr>
                  <w:rPr>
                    <w:b/>
                    <w:bCs/>
                  </w:rPr>
                </w:pPr>
                <w:r w:rsidRPr="00094D34">
                  <w:rPr>
                    <w:b/>
                    <w:bCs/>
                  </w:rPr>
                  <w:t>How you will provide a local</w:t>
                </w:r>
                <w:r>
                  <w:rPr>
                    <w:b/>
                    <w:bCs/>
                  </w:rPr>
                  <w:t xml:space="preserve"> </w:t>
                </w:r>
                <w:r w:rsidRPr="00094D34">
                  <w:rPr>
                    <w:b/>
                    <w:bCs/>
                  </w:rPr>
                  <w:t>mechanism for patient to opt out solely of risk stratification activities.</w:t>
                </w:r>
              </w:p>
              <w:p w14:paraId="33EB5C2F" w14:textId="55714223" w:rsidR="005E6893" w:rsidRPr="00DD36EB" w:rsidRDefault="005E6893" w:rsidP="002704C8">
                <w:pPr>
                  <w:rPr>
                    <w:b/>
                    <w:bCs/>
                  </w:rPr>
                </w:pPr>
                <w:r w:rsidRPr="002844E8">
                  <w:rPr>
                    <w:i/>
                    <w:iCs/>
                    <w:sz w:val="22"/>
                    <w:szCs w:val="20"/>
                  </w:rPr>
                  <w:t xml:space="preserve">To </w:t>
                </w:r>
                <w:r>
                  <w:rPr>
                    <w:i/>
                    <w:iCs/>
                    <w:sz w:val="22"/>
                    <w:szCs w:val="20"/>
                  </w:rPr>
                  <w:t xml:space="preserve">prevent an unnecessary rise in National Data Opt Out rates that has negative impacts for all activities under s251 support, a long standing principle of CAG has been for </w:t>
                </w:r>
                <w:r>
                  <w:rPr>
                    <w:i/>
                    <w:iCs/>
                    <w:sz w:val="22"/>
                    <w:szCs w:val="20"/>
                    <w:u w:val="single"/>
                  </w:rPr>
                  <w:t xml:space="preserve">all </w:t>
                </w:r>
                <w:r>
                  <w:rPr>
                    <w:i/>
                    <w:iCs/>
                    <w:sz w:val="22"/>
                    <w:szCs w:val="20"/>
                  </w:rPr>
                  <w:t>activities to offer patients a project specific mechanism, alongside applying the national data opt out.</w:t>
                </w:r>
              </w:p>
            </w:tc>
            <w:tc>
              <w:tcPr>
                <w:tcW w:w="9095" w:type="dxa"/>
              </w:tcPr>
              <w:p w14:paraId="5884F8F9" w14:textId="0EC28AF5" w:rsidR="005E6893" w:rsidRPr="002704C8" w:rsidRDefault="005E6893" w:rsidP="00357C35">
                <w:pPr>
                  <w:rPr>
                    <w:i/>
                    <w:iCs/>
                    <w:color w:val="7F7F7F" w:themeColor="text1" w:themeTint="80"/>
                    <w:sz w:val="18"/>
                    <w:szCs w:val="18"/>
                  </w:rPr>
                </w:pPr>
                <w:r w:rsidRPr="002704C8">
                  <w:rPr>
                    <w:i/>
                    <w:iCs/>
                    <w:color w:val="7F7F7F" w:themeColor="text1" w:themeTint="80"/>
                    <w:sz w:val="18"/>
                    <w:szCs w:val="18"/>
                  </w:rPr>
                  <w:t>[Confirmation that the National Data Opt Outs are applied]</w:t>
                </w:r>
              </w:p>
              <w:p w14:paraId="673C49F1" w14:textId="77777777" w:rsidR="005E6893" w:rsidRPr="002704C8" w:rsidRDefault="005E6893" w:rsidP="00357C35">
                <w:pPr>
                  <w:rPr>
                    <w:i/>
                    <w:iCs/>
                    <w:color w:val="7F7F7F" w:themeColor="text1" w:themeTint="80"/>
                    <w:sz w:val="18"/>
                    <w:szCs w:val="18"/>
                  </w:rPr>
                </w:pPr>
              </w:p>
            </w:tc>
          </w:tr>
          <w:tr w:rsidR="00EF6450" w14:paraId="3F3731BC" w14:textId="77777777" w:rsidTr="002844E8">
            <w:trPr>
              <w:trHeight w:val="3327"/>
            </w:trPr>
            <w:tc>
              <w:tcPr>
                <w:tcW w:w="4508" w:type="dxa"/>
                <w:vMerge/>
              </w:tcPr>
              <w:p w14:paraId="4A72F993" w14:textId="77777777" w:rsidR="00EF6450" w:rsidRPr="00FA2058" w:rsidRDefault="00EF6450" w:rsidP="00357C35">
                <w:pPr>
                  <w:rPr>
                    <w:b/>
                    <w:bCs/>
                  </w:rPr>
                </w:pPr>
              </w:p>
            </w:tc>
            <w:tc>
              <w:tcPr>
                <w:tcW w:w="9095" w:type="dxa"/>
              </w:tcPr>
              <w:p w14:paraId="37DD489B" w14:textId="6F0AB689" w:rsidR="00EF6450" w:rsidRPr="3C1AD5BA" w:rsidRDefault="00EF6450" w:rsidP="3C1AD5BA">
                <w:pPr>
                  <w:rPr>
                    <w:i/>
                    <w:iCs/>
                    <w:color w:val="7F7F7F" w:themeColor="text1" w:themeTint="80"/>
                    <w:sz w:val="18"/>
                    <w:szCs w:val="18"/>
                  </w:rPr>
                </w:pPr>
                <w:r w:rsidRPr="3C1AD5BA">
                  <w:rPr>
                    <w:i/>
                    <w:iCs/>
                    <w:color w:val="7F7F7F" w:themeColor="text1" w:themeTint="80"/>
                    <w:sz w:val="18"/>
                    <w:szCs w:val="18"/>
                  </w:rPr>
                  <w:t xml:space="preserve">[A principle of CAG support is that notification materials provide a local contact for patients to solely opt out of risk stratification. </w:t>
                </w:r>
                <w:r w:rsidR="00CE761C">
                  <w:rPr>
                    <w:i/>
                    <w:iCs/>
                    <w:color w:val="7F7F7F" w:themeColor="text1" w:themeTint="80"/>
                    <w:sz w:val="18"/>
                    <w:szCs w:val="18"/>
                  </w:rPr>
                  <w:t>Evidence of a</w:t>
                </w:r>
                <w:r w:rsidR="005620B6">
                  <w:rPr>
                    <w:i/>
                    <w:iCs/>
                    <w:color w:val="7F7F7F" w:themeColor="text1" w:themeTint="80"/>
                    <w:sz w:val="18"/>
                    <w:szCs w:val="18"/>
                  </w:rPr>
                  <w:t xml:space="preserve">n </w:t>
                </w:r>
                <w:r w:rsidRPr="3C1AD5BA">
                  <w:rPr>
                    <w:i/>
                    <w:iCs/>
                    <w:color w:val="7F7F7F" w:themeColor="text1" w:themeTint="80"/>
                    <w:sz w:val="18"/>
                    <w:szCs w:val="18"/>
                  </w:rPr>
                  <w:t xml:space="preserve">appropriate </w:t>
                </w:r>
                <w:r w:rsidR="00CE761C">
                  <w:rPr>
                    <w:i/>
                    <w:iCs/>
                    <w:color w:val="7F7F7F" w:themeColor="text1" w:themeTint="80"/>
                    <w:sz w:val="18"/>
                    <w:szCs w:val="18"/>
                  </w:rPr>
                  <w:t xml:space="preserve">offer / </w:t>
                </w:r>
                <w:r w:rsidRPr="3C1AD5BA">
                  <w:rPr>
                    <w:i/>
                    <w:iCs/>
                    <w:color w:val="7F7F7F" w:themeColor="text1" w:themeTint="80"/>
                    <w:sz w:val="18"/>
                    <w:szCs w:val="18"/>
                  </w:rPr>
                  <w:t xml:space="preserve">mechanism </w:t>
                </w:r>
                <w:r w:rsidR="00CE761C">
                  <w:rPr>
                    <w:i/>
                    <w:iCs/>
                    <w:color w:val="7F7F7F" w:themeColor="text1" w:themeTint="80"/>
                    <w:sz w:val="18"/>
                    <w:szCs w:val="18"/>
                  </w:rPr>
                  <w:t xml:space="preserve">from </w:t>
                </w:r>
                <w:r w:rsidRPr="3C1AD5BA">
                  <w:rPr>
                    <w:i/>
                    <w:iCs/>
                    <w:color w:val="7F7F7F" w:themeColor="text1" w:themeTint="80"/>
                    <w:sz w:val="18"/>
                    <w:szCs w:val="18"/>
                  </w:rPr>
                  <w:t>the ICB implements to support risk stratification patient opt outs</w:t>
                </w:r>
                <w:r w:rsidR="00CE761C">
                  <w:rPr>
                    <w:i/>
                    <w:iCs/>
                    <w:color w:val="7F7F7F" w:themeColor="text1" w:themeTint="80"/>
                    <w:sz w:val="18"/>
                    <w:szCs w:val="18"/>
                  </w:rPr>
                  <w:t xml:space="preserve"> is in place, which</w:t>
                </w:r>
                <w:r w:rsidRPr="3C1AD5BA">
                  <w:rPr>
                    <w:i/>
                    <w:iCs/>
                    <w:color w:val="7F7F7F" w:themeColor="text1" w:themeTint="80"/>
                    <w:sz w:val="18"/>
                    <w:szCs w:val="18"/>
                  </w:rPr>
                  <w:t xml:space="preserve"> can be defined locally but could include telephone, email and postal options</w:t>
                </w:r>
                <w:r w:rsidR="009A3F5C">
                  <w:rPr>
                    <w:i/>
                    <w:iCs/>
                    <w:color w:val="7F7F7F" w:themeColor="text1" w:themeTint="80"/>
                    <w:sz w:val="18"/>
                    <w:szCs w:val="18"/>
                  </w:rPr>
                  <w:t xml:space="preserve"> given to </w:t>
                </w:r>
                <w:r w:rsidR="00AB328E">
                  <w:rPr>
                    <w:i/>
                    <w:iCs/>
                    <w:color w:val="7F7F7F" w:themeColor="text1" w:themeTint="80"/>
                    <w:sz w:val="18"/>
                    <w:szCs w:val="18"/>
                  </w:rPr>
                  <w:t>patients.</w:t>
                </w:r>
                <w:r w:rsidRPr="3C1AD5BA">
                  <w:rPr>
                    <w:i/>
                    <w:iCs/>
                    <w:color w:val="7F7F7F" w:themeColor="text1" w:themeTint="80"/>
                    <w:sz w:val="18"/>
                    <w:szCs w:val="18"/>
                  </w:rPr>
                  <w:t>]</w:t>
                </w:r>
              </w:p>
            </w:tc>
          </w:tr>
          <w:tr w:rsidR="005E6893" w14:paraId="61305E59" w14:textId="77777777" w:rsidTr="00894331">
            <w:tc>
              <w:tcPr>
                <w:tcW w:w="4508" w:type="dxa"/>
                <w:vMerge/>
              </w:tcPr>
              <w:p w14:paraId="4B49C3B1" w14:textId="77777777" w:rsidR="005E6893" w:rsidRPr="00FA2058" w:rsidRDefault="005E6893" w:rsidP="00357C35">
                <w:pPr>
                  <w:rPr>
                    <w:b/>
                    <w:bCs/>
                  </w:rPr>
                </w:pPr>
              </w:p>
            </w:tc>
            <w:tc>
              <w:tcPr>
                <w:tcW w:w="9095" w:type="dxa"/>
              </w:tcPr>
              <w:p w14:paraId="67E54260" w14:textId="16713E08" w:rsidR="005E6893" w:rsidRPr="002704C8" w:rsidRDefault="00EF6450" w:rsidP="3C1AD5BA">
                <w:pPr>
                  <w:rPr>
                    <w:i/>
                    <w:iCs/>
                    <w:sz w:val="18"/>
                    <w:szCs w:val="18"/>
                  </w:rPr>
                </w:pPr>
                <w:r>
                  <w:rPr>
                    <w:i/>
                    <w:iCs/>
                    <w:color w:val="7F7F7F" w:themeColor="text1" w:themeTint="80"/>
                    <w:sz w:val="18"/>
                    <w:szCs w:val="18"/>
                  </w:rPr>
                  <w:t xml:space="preserve">Appendix </w:t>
                </w:r>
                <w:r w:rsidR="00C106FC">
                  <w:rPr>
                    <w:i/>
                    <w:iCs/>
                    <w:color w:val="7F7F7F" w:themeColor="text1" w:themeTint="80"/>
                    <w:sz w:val="18"/>
                    <w:szCs w:val="18"/>
                  </w:rPr>
                  <w:t xml:space="preserve">information reference </w:t>
                </w:r>
              </w:p>
            </w:tc>
          </w:tr>
          <w:tr w:rsidR="00BD0297" w14:paraId="07F25177" w14:textId="77777777" w:rsidTr="006A4B84">
            <w:tc>
              <w:tcPr>
                <w:tcW w:w="4508" w:type="dxa"/>
                <w:vMerge w:val="restart"/>
              </w:tcPr>
              <w:p w14:paraId="2EC3989C" w14:textId="475D9379" w:rsidR="00BD0297" w:rsidRPr="002844E8" w:rsidRDefault="00BD0297">
                <w:pPr>
                  <w:rPr>
                    <w:rFonts w:eastAsia="Arial" w:cs="Arial"/>
                    <w:b/>
                    <w:bCs/>
                    <w:szCs w:val="24"/>
                  </w:rPr>
                </w:pPr>
                <w:r w:rsidRPr="002844E8">
                  <w:rPr>
                    <w:rFonts w:eastAsia="Arial" w:cs="Arial"/>
                    <w:b/>
                    <w:bCs/>
                    <w:szCs w:val="24"/>
                  </w:rPr>
                  <w:t>Please provide:</w:t>
                </w:r>
              </w:p>
              <w:p w14:paraId="18C47D7E" w14:textId="11B8261A" w:rsidR="00BD0297" w:rsidRDefault="00BD0297">
                <w:pPr>
                  <w:rPr>
                    <w:rFonts w:eastAsia="Arial" w:cs="Arial"/>
                    <w:szCs w:val="24"/>
                  </w:rPr>
                </w:pPr>
                <w:r w:rsidRPr="002844E8">
                  <w:rPr>
                    <w:rFonts w:eastAsia="Arial" w:cs="Arial"/>
                    <w:b/>
                    <w:bCs/>
                    <w:szCs w:val="24"/>
                  </w:rPr>
                  <w:t>A data flow map for risk stratification processing</w:t>
                </w:r>
                <w:r>
                  <w:rPr>
                    <w:rFonts w:eastAsia="Arial" w:cs="Arial"/>
                    <w:szCs w:val="24"/>
                  </w:rPr>
                  <w:t xml:space="preserve"> </w:t>
                </w:r>
              </w:p>
              <w:p w14:paraId="164043D6" w14:textId="6F471F36" w:rsidR="00BD0297" w:rsidRPr="00FA2058" w:rsidRDefault="00BD0297" w:rsidP="00C328A8">
                <w:pPr>
                  <w:rPr>
                    <w:b/>
                    <w:bCs/>
                  </w:rPr>
                </w:pPr>
                <w:r w:rsidRPr="002844E8">
                  <w:rPr>
                    <w:rFonts w:eastAsia="Arial" w:cs="Arial"/>
                    <w:i/>
                    <w:iCs/>
                    <w:sz w:val="22"/>
                  </w:rPr>
                  <w:lastRenderedPageBreak/>
                  <w:t xml:space="preserve">The map must clearly </w:t>
                </w:r>
                <w:r w:rsidRPr="00292513">
                  <w:rPr>
                    <w:rFonts w:eastAsia="Arial" w:cs="Arial"/>
                    <w:i/>
                    <w:iCs/>
                    <w:sz w:val="22"/>
                  </w:rPr>
                  <w:t>detail</w:t>
                </w:r>
                <w:r w:rsidRPr="002844E8">
                  <w:rPr>
                    <w:rFonts w:eastAsia="Arial" w:cs="Arial"/>
                    <w:i/>
                    <w:iCs/>
                    <w:sz w:val="22"/>
                  </w:rPr>
                  <w:t xml:space="preserve"> where the s251 support will be required. </w:t>
                </w:r>
              </w:p>
            </w:tc>
            <w:tc>
              <w:tcPr>
                <w:tcW w:w="9095" w:type="dxa"/>
              </w:tcPr>
              <w:p w14:paraId="43FD31D1" w14:textId="124CA1E0" w:rsidR="00BD0297" w:rsidRDefault="00BD0297" w:rsidP="00C328A8">
                <w:pPr>
                  <w:keepLines/>
                  <w:spacing w:after="0"/>
                  <w:rPr>
                    <w:i/>
                    <w:iCs/>
                    <w:color w:val="7F7F7F" w:themeColor="text1" w:themeTint="80"/>
                    <w:sz w:val="18"/>
                    <w:szCs w:val="18"/>
                  </w:rPr>
                </w:pPr>
                <w:r w:rsidRPr="005F367D">
                  <w:rPr>
                    <w:i/>
                    <w:iCs/>
                    <w:color w:val="7F7F7F" w:themeColor="text1" w:themeTint="80"/>
                    <w:sz w:val="18"/>
                    <w:szCs w:val="18"/>
                  </w:rPr>
                  <w:lastRenderedPageBreak/>
                  <w:t xml:space="preserve">[Visual map / PDF document added as an appendix. </w:t>
                </w:r>
                <w:r w:rsidRPr="00C328A8">
                  <w:rPr>
                    <w:i/>
                    <w:iCs/>
                    <w:color w:val="7F7F7F" w:themeColor="text1" w:themeTint="80"/>
                    <w:sz w:val="18"/>
                    <w:szCs w:val="18"/>
                  </w:rPr>
                  <w:t xml:space="preserve">It should </w:t>
                </w:r>
                <w:r>
                  <w:rPr>
                    <w:i/>
                    <w:iCs/>
                    <w:color w:val="7F7F7F" w:themeColor="text1" w:themeTint="80"/>
                    <w:sz w:val="18"/>
                    <w:szCs w:val="18"/>
                  </w:rPr>
                  <w:t xml:space="preserve">be a simple diagram, aligned to the content on the application form and </w:t>
                </w:r>
                <w:r w:rsidRPr="00C328A8">
                  <w:rPr>
                    <w:i/>
                    <w:iCs/>
                    <w:color w:val="7F7F7F" w:themeColor="text1" w:themeTint="80"/>
                    <w:sz w:val="18"/>
                    <w:szCs w:val="18"/>
                  </w:rPr>
                  <w:t>include:</w:t>
                </w:r>
              </w:p>
              <w:p w14:paraId="5E958856" w14:textId="77777777" w:rsidR="00396382" w:rsidRPr="00C328A8" w:rsidRDefault="00396382" w:rsidP="00C328A8">
                <w:pPr>
                  <w:keepLines/>
                  <w:spacing w:after="0"/>
                  <w:rPr>
                    <w:i/>
                    <w:iCs/>
                    <w:color w:val="7F7F7F" w:themeColor="text1" w:themeTint="80"/>
                    <w:sz w:val="18"/>
                    <w:szCs w:val="18"/>
                  </w:rPr>
                </w:pPr>
              </w:p>
              <w:p w14:paraId="636CF7DD" w14:textId="77777777" w:rsidR="00BD0297" w:rsidRDefault="00BD0297" w:rsidP="00C328A8">
                <w:pPr>
                  <w:keepLines/>
                  <w:spacing w:after="0"/>
                  <w:rPr>
                    <w:i/>
                    <w:iCs/>
                    <w:color w:val="7F7F7F" w:themeColor="text1" w:themeTint="80"/>
                    <w:sz w:val="18"/>
                    <w:szCs w:val="18"/>
                  </w:rPr>
                </w:pPr>
                <w:r w:rsidRPr="00C328A8">
                  <w:rPr>
                    <w:i/>
                    <w:iCs/>
                    <w:color w:val="7F7F7F" w:themeColor="text1" w:themeTint="80"/>
                    <w:sz w:val="18"/>
                    <w:szCs w:val="18"/>
                  </w:rPr>
                  <w:t>The organisations between which data will flow</w:t>
                </w:r>
              </w:p>
              <w:p w14:paraId="2E753F57" w14:textId="77777777" w:rsidR="00396382" w:rsidRDefault="00396382" w:rsidP="00C328A8">
                <w:pPr>
                  <w:keepLines/>
                  <w:spacing w:after="0"/>
                  <w:rPr>
                    <w:i/>
                    <w:iCs/>
                    <w:color w:val="7F7F7F" w:themeColor="text1" w:themeTint="80"/>
                    <w:sz w:val="18"/>
                    <w:szCs w:val="18"/>
                  </w:rPr>
                </w:pPr>
              </w:p>
              <w:p w14:paraId="666DCA6D" w14:textId="77417AB2" w:rsidR="00BD0297" w:rsidRPr="00334361" w:rsidRDefault="00BD0297" w:rsidP="00C328A8">
                <w:pPr>
                  <w:pStyle w:val="ListParagraph"/>
                  <w:keepLines/>
                  <w:numPr>
                    <w:ilvl w:val="0"/>
                    <w:numId w:val="56"/>
                  </w:numPr>
                  <w:spacing w:after="0"/>
                  <w:rPr>
                    <w:i/>
                    <w:iCs/>
                    <w:color w:val="7F7F7F" w:themeColor="text1" w:themeTint="80"/>
                    <w:sz w:val="18"/>
                    <w:szCs w:val="18"/>
                  </w:rPr>
                </w:pPr>
                <w:r w:rsidRPr="00334361">
                  <w:rPr>
                    <w:i/>
                    <w:iCs/>
                    <w:color w:val="7F7F7F" w:themeColor="text1" w:themeTint="80"/>
                    <w:sz w:val="18"/>
                    <w:szCs w:val="18"/>
                  </w:rPr>
                  <w:t>GPs</w:t>
                </w:r>
                <w:r w:rsidR="00D010CD">
                  <w:rPr>
                    <w:i/>
                    <w:iCs/>
                    <w:color w:val="7F7F7F" w:themeColor="text1" w:themeTint="80"/>
                    <w:sz w:val="18"/>
                    <w:szCs w:val="18"/>
                  </w:rPr>
                  <w:t xml:space="preserve"> </w:t>
                </w:r>
                <w:r w:rsidR="00AD5913">
                  <w:rPr>
                    <w:i/>
                    <w:iCs/>
                    <w:color w:val="7F7F7F" w:themeColor="text1" w:themeTint="80"/>
                    <w:sz w:val="18"/>
                    <w:szCs w:val="18"/>
                  </w:rPr>
                  <w:t>(be</w:t>
                </w:r>
                <w:r w:rsidR="00A61D15">
                  <w:rPr>
                    <w:i/>
                    <w:iCs/>
                    <w:color w:val="7F7F7F" w:themeColor="text1" w:themeTint="80"/>
                    <w:sz w:val="18"/>
                    <w:szCs w:val="18"/>
                  </w:rPr>
                  <w:t xml:space="preserve"> clear if </w:t>
                </w:r>
                <w:r w:rsidR="00360965">
                  <w:rPr>
                    <w:i/>
                    <w:iCs/>
                    <w:color w:val="7F7F7F" w:themeColor="text1" w:themeTint="80"/>
                    <w:sz w:val="18"/>
                    <w:szCs w:val="18"/>
                  </w:rPr>
                  <w:t xml:space="preserve">route a or b is being used </w:t>
                </w:r>
                <w:r w:rsidR="008A15E5">
                  <w:rPr>
                    <w:i/>
                    <w:iCs/>
                    <w:color w:val="7F7F7F" w:themeColor="text1" w:themeTint="80"/>
                    <w:sz w:val="18"/>
                    <w:szCs w:val="18"/>
                  </w:rPr>
                  <w:t xml:space="preserve">as per the application form </w:t>
                </w:r>
                <w:r w:rsidR="00360965">
                  <w:rPr>
                    <w:i/>
                    <w:iCs/>
                    <w:color w:val="7F7F7F" w:themeColor="text1" w:themeTint="80"/>
                    <w:sz w:val="18"/>
                    <w:szCs w:val="18"/>
                  </w:rPr>
                  <w:t xml:space="preserve">and </w:t>
                </w:r>
                <w:r w:rsidR="00D60623">
                  <w:rPr>
                    <w:i/>
                    <w:iCs/>
                    <w:color w:val="7F7F7F" w:themeColor="text1" w:themeTint="80"/>
                    <w:sz w:val="18"/>
                    <w:szCs w:val="18"/>
                  </w:rPr>
                  <w:t xml:space="preserve">the flow of data in identifiable </w:t>
                </w:r>
                <w:r w:rsidR="00033B85">
                  <w:rPr>
                    <w:i/>
                    <w:iCs/>
                    <w:color w:val="7F7F7F" w:themeColor="text1" w:themeTint="80"/>
                    <w:sz w:val="18"/>
                    <w:szCs w:val="18"/>
                  </w:rPr>
                  <w:t>for</w:t>
                </w:r>
                <w:r w:rsidR="008F3497">
                  <w:rPr>
                    <w:i/>
                    <w:iCs/>
                    <w:color w:val="7F7F7F" w:themeColor="text1" w:themeTint="80"/>
                    <w:sz w:val="18"/>
                    <w:szCs w:val="18"/>
                  </w:rPr>
                  <w:t>m</w:t>
                </w:r>
                <w:r w:rsidR="00033B85">
                  <w:rPr>
                    <w:i/>
                    <w:iCs/>
                    <w:color w:val="7F7F7F" w:themeColor="text1" w:themeTint="80"/>
                    <w:sz w:val="18"/>
                    <w:szCs w:val="18"/>
                  </w:rPr>
                  <w:t xml:space="preserve"> and requires s251 support </w:t>
                </w:r>
                <w:r w:rsidR="00D60623">
                  <w:rPr>
                    <w:i/>
                    <w:iCs/>
                    <w:color w:val="7F7F7F" w:themeColor="text1" w:themeTint="80"/>
                    <w:sz w:val="18"/>
                    <w:szCs w:val="18"/>
                  </w:rPr>
                  <w:t xml:space="preserve">or </w:t>
                </w:r>
                <w:r w:rsidR="00FA446B">
                  <w:rPr>
                    <w:i/>
                    <w:iCs/>
                    <w:color w:val="7F7F7F" w:themeColor="text1" w:themeTint="80"/>
                    <w:sz w:val="18"/>
                    <w:szCs w:val="18"/>
                  </w:rPr>
                  <w:t>pseudonymised)</w:t>
                </w:r>
              </w:p>
              <w:p w14:paraId="2DAB5766" w14:textId="12F49351" w:rsidR="00BD0297" w:rsidRDefault="00BD0297" w:rsidP="00F520FF">
                <w:pPr>
                  <w:pStyle w:val="ListParagraph"/>
                  <w:keepLines/>
                  <w:numPr>
                    <w:ilvl w:val="0"/>
                    <w:numId w:val="56"/>
                  </w:numPr>
                  <w:spacing w:after="0"/>
                  <w:rPr>
                    <w:i/>
                    <w:iCs/>
                    <w:color w:val="7F7F7F" w:themeColor="text1" w:themeTint="80"/>
                    <w:sz w:val="18"/>
                    <w:szCs w:val="18"/>
                  </w:rPr>
                </w:pPr>
                <w:r w:rsidRPr="00F520FF">
                  <w:rPr>
                    <w:i/>
                    <w:iCs/>
                    <w:color w:val="7F7F7F" w:themeColor="text1" w:themeTint="80"/>
                    <w:sz w:val="18"/>
                    <w:szCs w:val="18"/>
                  </w:rPr>
                  <w:t xml:space="preserve">Risk </w:t>
                </w:r>
                <w:r w:rsidR="00FA446B" w:rsidRPr="00F520FF">
                  <w:rPr>
                    <w:i/>
                    <w:iCs/>
                    <w:color w:val="7F7F7F" w:themeColor="text1" w:themeTint="80"/>
                    <w:sz w:val="18"/>
                    <w:szCs w:val="18"/>
                  </w:rPr>
                  <w:t>Strat</w:t>
                </w:r>
                <w:r w:rsidR="00FA446B">
                  <w:rPr>
                    <w:i/>
                    <w:iCs/>
                    <w:color w:val="7F7F7F" w:themeColor="text1" w:themeTint="80"/>
                    <w:sz w:val="18"/>
                    <w:szCs w:val="18"/>
                  </w:rPr>
                  <w:t>ification</w:t>
                </w:r>
                <w:r w:rsidRPr="00F520FF">
                  <w:rPr>
                    <w:i/>
                    <w:iCs/>
                    <w:color w:val="7F7F7F" w:themeColor="text1" w:themeTint="80"/>
                    <w:sz w:val="18"/>
                    <w:szCs w:val="18"/>
                  </w:rPr>
                  <w:t xml:space="preserve"> supplier </w:t>
                </w:r>
                <w:r w:rsidR="00FA446B">
                  <w:rPr>
                    <w:i/>
                    <w:iCs/>
                    <w:color w:val="7F7F7F" w:themeColor="text1" w:themeTint="80"/>
                    <w:sz w:val="18"/>
                    <w:szCs w:val="18"/>
                  </w:rPr>
                  <w:t>(these</w:t>
                </w:r>
                <w:r>
                  <w:rPr>
                    <w:i/>
                    <w:iCs/>
                    <w:color w:val="7F7F7F" w:themeColor="text1" w:themeTint="80"/>
                    <w:sz w:val="18"/>
                    <w:szCs w:val="18"/>
                  </w:rPr>
                  <w:t xml:space="preserve"> do not require individual identification, if more than one supplier)</w:t>
                </w:r>
                <w:r w:rsidRPr="00F520FF">
                  <w:rPr>
                    <w:i/>
                    <w:iCs/>
                    <w:color w:val="7F7F7F" w:themeColor="text1" w:themeTint="80"/>
                    <w:sz w:val="18"/>
                    <w:szCs w:val="18"/>
                  </w:rPr>
                  <w:t xml:space="preserve"> </w:t>
                </w:r>
              </w:p>
              <w:p w14:paraId="7B9F74FE" w14:textId="7D831C20" w:rsidR="00BD0297" w:rsidRPr="00F520FF" w:rsidRDefault="00BD0297" w:rsidP="00F520FF">
                <w:pPr>
                  <w:pStyle w:val="ListParagraph"/>
                  <w:keepLines/>
                  <w:numPr>
                    <w:ilvl w:val="0"/>
                    <w:numId w:val="56"/>
                  </w:numPr>
                  <w:spacing w:after="0"/>
                  <w:rPr>
                    <w:i/>
                    <w:iCs/>
                    <w:color w:val="7F7F7F" w:themeColor="text1" w:themeTint="80"/>
                    <w:sz w:val="18"/>
                    <w:szCs w:val="18"/>
                  </w:rPr>
                </w:pPr>
                <w:r w:rsidRPr="00F520FF">
                  <w:rPr>
                    <w:i/>
                    <w:iCs/>
                    <w:color w:val="7F7F7F" w:themeColor="text1" w:themeTint="80"/>
                    <w:sz w:val="18"/>
                    <w:szCs w:val="18"/>
                  </w:rPr>
                  <w:t>ICB (if any data flows from them)</w:t>
                </w:r>
              </w:p>
              <w:p w14:paraId="2F582A49" w14:textId="4707F73D" w:rsidR="00BD0297" w:rsidRPr="00334361" w:rsidRDefault="00BD0297" w:rsidP="00C328A8">
                <w:pPr>
                  <w:pStyle w:val="ListParagraph"/>
                  <w:keepLines/>
                  <w:numPr>
                    <w:ilvl w:val="0"/>
                    <w:numId w:val="56"/>
                  </w:numPr>
                  <w:spacing w:after="0"/>
                  <w:rPr>
                    <w:i/>
                    <w:iCs/>
                    <w:color w:val="7F7F7F" w:themeColor="text1" w:themeTint="80"/>
                    <w:sz w:val="18"/>
                    <w:szCs w:val="18"/>
                  </w:rPr>
                </w:pPr>
                <w:r w:rsidRPr="00334361">
                  <w:rPr>
                    <w:i/>
                    <w:iCs/>
                    <w:color w:val="7F7F7F" w:themeColor="text1" w:themeTint="80"/>
                    <w:sz w:val="18"/>
                    <w:szCs w:val="18"/>
                  </w:rPr>
                  <w:lastRenderedPageBreak/>
                  <w:t xml:space="preserve">Indicate if each flow/linkage uses identifiable, pseudonymised, anonymised </w:t>
                </w:r>
                <w:r w:rsidR="00405942" w:rsidRPr="00334361">
                  <w:rPr>
                    <w:i/>
                    <w:iCs/>
                    <w:color w:val="7F7F7F" w:themeColor="text1" w:themeTint="80"/>
                    <w:sz w:val="18"/>
                    <w:szCs w:val="18"/>
                  </w:rPr>
                  <w:t>data.</w:t>
                </w:r>
              </w:p>
              <w:p w14:paraId="645B0FA7" w14:textId="443BD2B7" w:rsidR="00BD0297" w:rsidRDefault="00BD0297" w:rsidP="00C328A8">
                <w:pPr>
                  <w:pStyle w:val="ListParagraph"/>
                  <w:keepLines/>
                  <w:numPr>
                    <w:ilvl w:val="0"/>
                    <w:numId w:val="56"/>
                  </w:numPr>
                  <w:spacing w:after="0"/>
                  <w:rPr>
                    <w:i/>
                    <w:iCs/>
                    <w:color w:val="7F7F7F" w:themeColor="text1" w:themeTint="80"/>
                    <w:sz w:val="18"/>
                    <w:szCs w:val="18"/>
                  </w:rPr>
                </w:pPr>
                <w:r w:rsidRPr="00334361">
                  <w:rPr>
                    <w:i/>
                    <w:iCs/>
                    <w:color w:val="7F7F7F" w:themeColor="text1" w:themeTint="80"/>
                    <w:sz w:val="18"/>
                    <w:szCs w:val="18"/>
                  </w:rPr>
                  <w:t>For identifiable flows/linkages, indicate common law legal basis or that s251</w:t>
                </w:r>
                <w:r>
                  <w:rPr>
                    <w:i/>
                    <w:iCs/>
                    <w:color w:val="7F7F7F" w:themeColor="text1" w:themeTint="80"/>
                    <w:sz w:val="18"/>
                    <w:szCs w:val="18"/>
                  </w:rPr>
                  <w:t xml:space="preserve"> is used to support</w:t>
                </w:r>
                <w:r w:rsidRPr="00334361">
                  <w:rPr>
                    <w:i/>
                    <w:iCs/>
                    <w:color w:val="7F7F7F" w:themeColor="text1" w:themeTint="80"/>
                    <w:sz w:val="18"/>
                    <w:szCs w:val="18"/>
                  </w:rPr>
                  <w:t xml:space="preserve">. </w:t>
                </w:r>
              </w:p>
              <w:p w14:paraId="657C52C8" w14:textId="77777777" w:rsidR="00BD0297" w:rsidRPr="00334361" w:rsidRDefault="00BD0297" w:rsidP="002844E8">
                <w:pPr>
                  <w:pStyle w:val="ListParagraph"/>
                  <w:keepLines/>
                  <w:numPr>
                    <w:ilvl w:val="0"/>
                    <w:numId w:val="0"/>
                  </w:numPr>
                  <w:spacing w:after="0"/>
                  <w:ind w:left="720"/>
                  <w:rPr>
                    <w:i/>
                    <w:iCs/>
                    <w:color w:val="7F7F7F" w:themeColor="text1" w:themeTint="80"/>
                    <w:sz w:val="18"/>
                    <w:szCs w:val="18"/>
                  </w:rPr>
                </w:pPr>
              </w:p>
              <w:p w14:paraId="3A7725CF" w14:textId="14747168" w:rsidR="00BD0297" w:rsidRPr="002704C8" w:rsidRDefault="00BD0297" w:rsidP="00C328A8">
                <w:pPr>
                  <w:rPr>
                    <w:i/>
                    <w:iCs/>
                    <w:color w:val="7F7F7F" w:themeColor="text1" w:themeTint="80"/>
                    <w:sz w:val="18"/>
                    <w:szCs w:val="18"/>
                  </w:rPr>
                </w:pPr>
                <w:r w:rsidRPr="005F367D">
                  <w:rPr>
                    <w:i/>
                    <w:iCs/>
                    <w:color w:val="7F7F7F" w:themeColor="text1" w:themeTint="80"/>
                    <w:sz w:val="18"/>
                    <w:szCs w:val="18"/>
                  </w:rPr>
                  <w:t>The information from t</w:t>
                </w:r>
                <w:r>
                  <w:rPr>
                    <w:i/>
                    <w:iCs/>
                    <w:color w:val="7F7F7F" w:themeColor="text1" w:themeTint="80"/>
                    <w:sz w:val="18"/>
                    <w:szCs w:val="18"/>
                  </w:rPr>
                  <w:t xml:space="preserve">he ICB </w:t>
                </w:r>
                <w:r w:rsidRPr="005F367D">
                  <w:rPr>
                    <w:i/>
                    <w:iCs/>
                    <w:color w:val="7F7F7F" w:themeColor="text1" w:themeTint="80"/>
                    <w:sz w:val="18"/>
                    <w:szCs w:val="18"/>
                  </w:rPr>
                  <w:t>D</w:t>
                </w:r>
                <w:r>
                  <w:rPr>
                    <w:i/>
                    <w:iCs/>
                    <w:color w:val="7F7F7F" w:themeColor="text1" w:themeTint="80"/>
                    <w:sz w:val="18"/>
                    <w:szCs w:val="18"/>
                  </w:rPr>
                  <w:t xml:space="preserve">ata </w:t>
                </w:r>
                <w:r w:rsidRPr="005F367D">
                  <w:rPr>
                    <w:i/>
                    <w:iCs/>
                    <w:color w:val="7F7F7F" w:themeColor="text1" w:themeTint="80"/>
                    <w:sz w:val="18"/>
                    <w:szCs w:val="18"/>
                  </w:rPr>
                  <w:t>P</w:t>
                </w:r>
                <w:r>
                  <w:rPr>
                    <w:i/>
                    <w:iCs/>
                    <w:color w:val="7F7F7F" w:themeColor="text1" w:themeTint="80"/>
                    <w:sz w:val="18"/>
                    <w:szCs w:val="18"/>
                  </w:rPr>
                  <w:t xml:space="preserve">rotection </w:t>
                </w:r>
                <w:r w:rsidRPr="005F367D">
                  <w:rPr>
                    <w:i/>
                    <w:iCs/>
                    <w:color w:val="7F7F7F" w:themeColor="text1" w:themeTint="80"/>
                    <w:sz w:val="18"/>
                    <w:szCs w:val="18"/>
                  </w:rPr>
                  <w:t>I</w:t>
                </w:r>
                <w:r>
                  <w:rPr>
                    <w:i/>
                    <w:iCs/>
                    <w:color w:val="7F7F7F" w:themeColor="text1" w:themeTint="80"/>
                    <w:sz w:val="18"/>
                    <w:szCs w:val="18"/>
                  </w:rPr>
                  <w:t xml:space="preserve">mpact </w:t>
                </w:r>
                <w:r w:rsidRPr="005F367D">
                  <w:rPr>
                    <w:i/>
                    <w:iCs/>
                    <w:color w:val="7F7F7F" w:themeColor="text1" w:themeTint="80"/>
                    <w:sz w:val="18"/>
                    <w:szCs w:val="18"/>
                  </w:rPr>
                  <w:t>A</w:t>
                </w:r>
                <w:r>
                  <w:rPr>
                    <w:i/>
                    <w:iCs/>
                    <w:color w:val="7F7F7F" w:themeColor="text1" w:themeTint="80"/>
                    <w:sz w:val="18"/>
                    <w:szCs w:val="18"/>
                  </w:rPr>
                  <w:t>ssessment (DPIA)</w:t>
                </w:r>
                <w:r w:rsidRPr="005F367D">
                  <w:rPr>
                    <w:i/>
                    <w:iCs/>
                    <w:color w:val="7F7F7F" w:themeColor="text1" w:themeTint="80"/>
                    <w:sz w:val="18"/>
                    <w:szCs w:val="18"/>
                  </w:rPr>
                  <w:t xml:space="preserve"> may assist as evidence]</w:t>
                </w:r>
              </w:p>
            </w:tc>
          </w:tr>
          <w:tr w:rsidR="00BD0297" w14:paraId="02581539" w14:textId="77777777" w:rsidTr="008E2925">
            <w:tc>
              <w:tcPr>
                <w:tcW w:w="4508" w:type="dxa"/>
                <w:vMerge/>
              </w:tcPr>
              <w:p w14:paraId="1ECCACF8" w14:textId="77777777" w:rsidR="00BD0297" w:rsidRPr="00BD0297" w:rsidRDefault="00BD0297">
                <w:pPr>
                  <w:rPr>
                    <w:rFonts w:eastAsia="Arial" w:cs="Arial"/>
                    <w:b/>
                    <w:bCs/>
                    <w:szCs w:val="24"/>
                  </w:rPr>
                </w:pPr>
              </w:p>
            </w:tc>
            <w:tc>
              <w:tcPr>
                <w:tcW w:w="9095" w:type="dxa"/>
              </w:tcPr>
              <w:p w14:paraId="6F2E4E93" w14:textId="77777777" w:rsidR="00BD0297" w:rsidRDefault="00BD0297" w:rsidP="00C328A8">
                <w:pPr>
                  <w:keepLines/>
                  <w:spacing w:after="0"/>
                  <w:rPr>
                    <w:i/>
                    <w:iCs/>
                    <w:color w:val="7F7F7F" w:themeColor="text1" w:themeTint="80"/>
                    <w:sz w:val="18"/>
                    <w:szCs w:val="18"/>
                  </w:rPr>
                </w:pPr>
                <w:r>
                  <w:rPr>
                    <w:i/>
                    <w:iCs/>
                    <w:color w:val="7F7F7F" w:themeColor="text1" w:themeTint="80"/>
                    <w:sz w:val="18"/>
                    <w:szCs w:val="18"/>
                  </w:rPr>
                  <w:t xml:space="preserve">Appendix information reference </w:t>
                </w:r>
              </w:p>
              <w:p w14:paraId="07856E2A" w14:textId="77777777" w:rsidR="00BD0297" w:rsidRDefault="00BD0297" w:rsidP="00C328A8">
                <w:pPr>
                  <w:keepLines/>
                  <w:spacing w:after="0"/>
                  <w:rPr>
                    <w:i/>
                    <w:iCs/>
                    <w:color w:val="7F7F7F" w:themeColor="text1" w:themeTint="80"/>
                    <w:sz w:val="18"/>
                    <w:szCs w:val="18"/>
                  </w:rPr>
                </w:pPr>
              </w:p>
              <w:p w14:paraId="2D146449" w14:textId="031953ED" w:rsidR="00BD0297" w:rsidRPr="005F367D" w:rsidRDefault="00BD0297" w:rsidP="00C328A8">
                <w:pPr>
                  <w:keepLines/>
                  <w:spacing w:after="0"/>
                  <w:rPr>
                    <w:i/>
                    <w:iCs/>
                    <w:color w:val="7F7F7F" w:themeColor="text1" w:themeTint="80"/>
                    <w:sz w:val="18"/>
                    <w:szCs w:val="18"/>
                  </w:rPr>
                </w:pPr>
              </w:p>
            </w:tc>
          </w:tr>
          <w:tr w:rsidR="00936D56" w14:paraId="60E0E6E5" w14:textId="77777777" w:rsidTr="002844E8">
            <w:tc>
              <w:tcPr>
                <w:tcW w:w="4508" w:type="dxa"/>
              </w:tcPr>
              <w:p w14:paraId="1FD5634C" w14:textId="17A4BC73" w:rsidR="00936D56" w:rsidRDefault="00936D56" w:rsidP="00936D56">
                <w:pPr>
                  <w:rPr>
                    <w:rFonts w:eastAsia="Arial" w:cs="Arial"/>
                    <w:b/>
                    <w:bCs/>
                    <w:szCs w:val="24"/>
                  </w:rPr>
                </w:pPr>
                <w:r>
                  <w:rPr>
                    <w:rFonts w:eastAsia="Arial" w:cs="Arial"/>
                    <w:b/>
                    <w:bCs/>
                    <w:szCs w:val="24"/>
                  </w:rPr>
                  <w:t xml:space="preserve">Please </w:t>
                </w:r>
                <w:r w:rsidR="00405942">
                  <w:rPr>
                    <w:rFonts w:eastAsia="Arial" w:cs="Arial"/>
                    <w:b/>
                    <w:bCs/>
                    <w:szCs w:val="24"/>
                  </w:rPr>
                  <w:t>list:</w:t>
                </w:r>
              </w:p>
              <w:p w14:paraId="6FD5270B" w14:textId="4F9C7C5F" w:rsidR="00936D56" w:rsidRPr="00936D56" w:rsidRDefault="00936D56" w:rsidP="00936D56">
                <w:pPr>
                  <w:rPr>
                    <w:rFonts w:eastAsia="Arial" w:cs="Arial"/>
                    <w:b/>
                    <w:bCs/>
                    <w:szCs w:val="24"/>
                  </w:rPr>
                </w:pPr>
                <w:r>
                  <w:rPr>
                    <w:rFonts w:eastAsia="Arial" w:cs="Arial"/>
                    <w:b/>
                    <w:bCs/>
                    <w:szCs w:val="24"/>
                  </w:rPr>
                  <w:t xml:space="preserve">Each of the </w:t>
                </w:r>
                <w:r w:rsidR="00360965">
                  <w:rPr>
                    <w:rFonts w:eastAsia="Arial" w:cs="Arial"/>
                    <w:b/>
                    <w:bCs/>
                    <w:szCs w:val="24"/>
                  </w:rPr>
                  <w:t xml:space="preserve">local flow </w:t>
                </w:r>
                <w:r>
                  <w:rPr>
                    <w:rFonts w:eastAsia="Arial" w:cs="Arial"/>
                    <w:b/>
                    <w:bCs/>
                    <w:szCs w:val="24"/>
                  </w:rPr>
                  <w:t>data items held</w:t>
                </w:r>
                <w:r w:rsidR="001F4CE4">
                  <w:rPr>
                    <w:rFonts w:eastAsia="Arial" w:cs="Arial"/>
                    <w:b/>
                    <w:bCs/>
                    <w:szCs w:val="24"/>
                  </w:rPr>
                  <w:t xml:space="preserve"> and analysed </w:t>
                </w:r>
                <w:r>
                  <w:rPr>
                    <w:rFonts w:eastAsia="Arial" w:cs="Arial"/>
                    <w:b/>
                    <w:bCs/>
                    <w:szCs w:val="24"/>
                  </w:rPr>
                  <w:t>in relation to each patient</w:t>
                </w:r>
                <w:r w:rsidR="001268DB">
                  <w:rPr>
                    <w:rFonts w:eastAsia="Arial" w:cs="Arial"/>
                    <w:b/>
                    <w:bCs/>
                    <w:szCs w:val="24"/>
                  </w:rPr>
                  <w:t>,</w:t>
                </w:r>
                <w:r>
                  <w:rPr>
                    <w:rFonts w:eastAsia="Arial" w:cs="Arial"/>
                    <w:b/>
                    <w:bCs/>
                    <w:szCs w:val="24"/>
                  </w:rPr>
                  <w:t xml:space="preserve"> describe </w:t>
                </w:r>
                <w:r w:rsidR="001268DB">
                  <w:rPr>
                    <w:rFonts w:eastAsia="Arial" w:cs="Arial"/>
                    <w:b/>
                    <w:bCs/>
                    <w:szCs w:val="24"/>
                  </w:rPr>
                  <w:t xml:space="preserve">and justify </w:t>
                </w:r>
                <w:r>
                  <w:rPr>
                    <w:rFonts w:eastAsia="Arial" w:cs="Arial"/>
                    <w:b/>
                    <w:bCs/>
                    <w:szCs w:val="24"/>
                  </w:rPr>
                  <w:t>why the data item is required</w:t>
                </w:r>
                <w:r w:rsidR="002A2939">
                  <w:rPr>
                    <w:rFonts w:eastAsia="Arial" w:cs="Arial"/>
                    <w:b/>
                    <w:bCs/>
                    <w:szCs w:val="24"/>
                  </w:rPr>
                  <w:t>.</w:t>
                </w:r>
              </w:p>
            </w:tc>
            <w:tc>
              <w:tcPr>
                <w:tcW w:w="9095" w:type="dxa"/>
              </w:tcPr>
              <w:p w14:paraId="13A678A8" w14:textId="1E329FC6" w:rsidR="00936D56" w:rsidRDefault="00751621" w:rsidP="00C328A8">
                <w:pPr>
                  <w:keepLines/>
                  <w:spacing w:after="0"/>
                  <w:rPr>
                    <w:i/>
                    <w:iCs/>
                    <w:color w:val="7F7F7F" w:themeColor="text1" w:themeTint="80"/>
                    <w:sz w:val="18"/>
                    <w:szCs w:val="18"/>
                  </w:rPr>
                </w:pPr>
                <w:r>
                  <w:rPr>
                    <w:i/>
                    <w:iCs/>
                    <w:color w:val="7F7F7F" w:themeColor="text1" w:themeTint="80"/>
                    <w:sz w:val="18"/>
                    <w:szCs w:val="18"/>
                  </w:rPr>
                  <w:t xml:space="preserve">[The data items </w:t>
                </w:r>
                <w:r w:rsidR="00D87173">
                  <w:rPr>
                    <w:i/>
                    <w:iCs/>
                    <w:color w:val="7F7F7F" w:themeColor="text1" w:themeTint="80"/>
                    <w:sz w:val="18"/>
                    <w:szCs w:val="18"/>
                  </w:rPr>
                  <w:t>used</w:t>
                </w:r>
                <w:r>
                  <w:rPr>
                    <w:i/>
                    <w:iCs/>
                    <w:color w:val="7F7F7F" w:themeColor="text1" w:themeTint="80"/>
                    <w:sz w:val="18"/>
                    <w:szCs w:val="18"/>
                  </w:rPr>
                  <w:t xml:space="preserve"> may be dependent on the risk stratification </w:t>
                </w:r>
                <w:r w:rsidR="00561421">
                  <w:rPr>
                    <w:i/>
                    <w:iCs/>
                    <w:color w:val="7F7F7F" w:themeColor="text1" w:themeTint="80"/>
                    <w:sz w:val="18"/>
                    <w:szCs w:val="18"/>
                  </w:rPr>
                  <w:t>supplier, and</w:t>
                </w:r>
                <w:r w:rsidR="00D87173">
                  <w:rPr>
                    <w:i/>
                    <w:iCs/>
                    <w:color w:val="7F7F7F" w:themeColor="text1" w:themeTint="80"/>
                    <w:sz w:val="18"/>
                    <w:szCs w:val="18"/>
                  </w:rPr>
                  <w:t xml:space="preserve"> </w:t>
                </w:r>
                <w:r>
                  <w:rPr>
                    <w:i/>
                    <w:iCs/>
                    <w:color w:val="7F7F7F" w:themeColor="text1" w:themeTint="80"/>
                    <w:sz w:val="18"/>
                    <w:szCs w:val="18"/>
                  </w:rPr>
                  <w:t>the risk stratification</w:t>
                </w:r>
                <w:r w:rsidR="00561421">
                  <w:rPr>
                    <w:i/>
                    <w:iCs/>
                    <w:color w:val="7F7F7F" w:themeColor="text1" w:themeTint="80"/>
                    <w:sz w:val="18"/>
                    <w:szCs w:val="18"/>
                  </w:rPr>
                  <w:t xml:space="preserve"> system</w:t>
                </w:r>
                <w:r>
                  <w:rPr>
                    <w:i/>
                    <w:iCs/>
                    <w:color w:val="7F7F7F" w:themeColor="text1" w:themeTint="80"/>
                    <w:sz w:val="18"/>
                    <w:szCs w:val="18"/>
                  </w:rPr>
                  <w:t xml:space="preserve"> </w:t>
                </w:r>
                <w:r w:rsidR="00D87173">
                  <w:rPr>
                    <w:i/>
                    <w:iCs/>
                    <w:color w:val="7F7F7F" w:themeColor="text1" w:themeTint="80"/>
                    <w:sz w:val="18"/>
                    <w:szCs w:val="18"/>
                  </w:rPr>
                  <w:t>algorithm implemented</w:t>
                </w:r>
                <w:r w:rsidR="00561421">
                  <w:rPr>
                    <w:i/>
                    <w:iCs/>
                    <w:color w:val="7F7F7F" w:themeColor="text1" w:themeTint="80"/>
                    <w:sz w:val="18"/>
                    <w:szCs w:val="18"/>
                  </w:rPr>
                  <w:t>.</w:t>
                </w:r>
                <w:r w:rsidR="00385308">
                  <w:rPr>
                    <w:i/>
                    <w:iCs/>
                    <w:color w:val="7F7F7F" w:themeColor="text1" w:themeTint="80"/>
                    <w:sz w:val="18"/>
                    <w:szCs w:val="18"/>
                  </w:rPr>
                  <w:t xml:space="preserve"> Please explain the </w:t>
                </w:r>
                <w:r w:rsidR="008A15E5">
                  <w:rPr>
                    <w:i/>
                    <w:iCs/>
                    <w:color w:val="7F7F7F" w:themeColor="text1" w:themeTint="80"/>
                    <w:sz w:val="18"/>
                    <w:szCs w:val="18"/>
                  </w:rPr>
                  <w:t xml:space="preserve">local </w:t>
                </w:r>
                <w:r w:rsidR="00385308">
                  <w:rPr>
                    <w:i/>
                    <w:iCs/>
                    <w:color w:val="7F7F7F" w:themeColor="text1" w:themeTint="80"/>
                    <w:sz w:val="18"/>
                    <w:szCs w:val="18"/>
                  </w:rPr>
                  <w:t xml:space="preserve">data item and </w:t>
                </w:r>
                <w:r w:rsidR="00E26DF4">
                  <w:rPr>
                    <w:i/>
                    <w:iCs/>
                    <w:color w:val="7F7F7F" w:themeColor="text1" w:themeTint="80"/>
                    <w:sz w:val="18"/>
                    <w:szCs w:val="18"/>
                  </w:rPr>
                  <w:t>the specific requirement for analysis purposes</w:t>
                </w:r>
                <w:r w:rsidR="008A15E5">
                  <w:rPr>
                    <w:i/>
                    <w:iCs/>
                    <w:color w:val="7F7F7F" w:themeColor="text1" w:themeTint="80"/>
                    <w:sz w:val="18"/>
                    <w:szCs w:val="18"/>
                  </w:rPr>
                  <w:t>, these may include GP data, Ambulance or 111 datasets.]</w:t>
                </w:r>
              </w:p>
              <w:p w14:paraId="5DDBA2EE" w14:textId="63FA1F22" w:rsidR="00360965" w:rsidRDefault="00360965" w:rsidP="00C328A8">
                <w:pPr>
                  <w:keepLines/>
                  <w:spacing w:after="0"/>
                  <w:rPr>
                    <w:i/>
                    <w:iCs/>
                    <w:color w:val="7F7F7F" w:themeColor="text1" w:themeTint="80"/>
                    <w:sz w:val="18"/>
                    <w:szCs w:val="18"/>
                  </w:rPr>
                </w:pPr>
              </w:p>
              <w:p w14:paraId="05CF45E0" w14:textId="77777777" w:rsidR="00EE6937" w:rsidRDefault="00EE6937" w:rsidP="00C328A8">
                <w:pPr>
                  <w:keepLines/>
                  <w:spacing w:after="0"/>
                  <w:rPr>
                    <w:i/>
                    <w:iCs/>
                    <w:color w:val="7F7F7F" w:themeColor="text1" w:themeTint="80"/>
                    <w:sz w:val="18"/>
                    <w:szCs w:val="18"/>
                  </w:rPr>
                </w:pPr>
              </w:p>
              <w:p w14:paraId="5F47CF19" w14:textId="4CB4434B" w:rsidR="00EE6937" w:rsidRPr="005F367D" w:rsidRDefault="00EE6937" w:rsidP="00C328A8">
                <w:pPr>
                  <w:keepLines/>
                  <w:spacing w:after="0"/>
                  <w:rPr>
                    <w:i/>
                    <w:iCs/>
                    <w:color w:val="7F7F7F" w:themeColor="text1" w:themeTint="80"/>
                    <w:sz w:val="18"/>
                    <w:szCs w:val="18"/>
                  </w:rPr>
                </w:pPr>
              </w:p>
            </w:tc>
          </w:tr>
        </w:tbl>
        <w:p w14:paraId="6E74B1F5" w14:textId="77777777" w:rsidR="008E2925" w:rsidRPr="008E2925" w:rsidRDefault="008E2925" w:rsidP="008E2925"/>
        <w:p w14:paraId="64ABA75A" w14:textId="46702E8B" w:rsidR="0005669F" w:rsidRDefault="0005669F" w:rsidP="0005669F">
          <w:pPr>
            <w:pStyle w:val="Heading2"/>
          </w:pPr>
          <w:r>
            <w:t>Public Involvement</w:t>
          </w:r>
        </w:p>
        <w:p w14:paraId="75BE5B43" w14:textId="14D6D2F9" w:rsidR="00B1099A" w:rsidRPr="00B1099A" w:rsidRDefault="00B1099A" w:rsidP="00B1099A">
          <w:pPr>
            <w:spacing w:after="300"/>
            <w:rPr>
              <w:rFonts w:eastAsia="Times New Roman" w:cs="Arial"/>
              <w:color w:val="000000"/>
              <w:szCs w:val="24"/>
              <w:lang w:eastAsia="en-GB"/>
            </w:rPr>
          </w:pPr>
          <w:r w:rsidRPr="00B1099A">
            <w:rPr>
              <w:rFonts w:eastAsia="Times New Roman" w:cs="Arial"/>
              <w:color w:val="000000"/>
              <w:szCs w:val="24"/>
              <w:lang w:eastAsia="en-GB"/>
            </w:rPr>
            <w:t xml:space="preserve">The CAG expects to see evidence of public involvement that </w:t>
          </w:r>
          <w:r w:rsidRPr="00B1099A">
            <w:rPr>
              <w:rFonts w:eastAsia="Times New Roman" w:cs="Arial"/>
              <w:color w:val="000000"/>
              <w:szCs w:val="24"/>
              <w:u w:val="single"/>
              <w:lang w:eastAsia="en-GB"/>
            </w:rPr>
            <w:t xml:space="preserve">specifically tests the acceptability of using confidential patient information without consent for the purpose of </w:t>
          </w:r>
          <w:r w:rsidR="00A87195">
            <w:rPr>
              <w:rFonts w:eastAsia="Times New Roman" w:cs="Arial"/>
              <w:color w:val="000000"/>
              <w:szCs w:val="24"/>
              <w:u w:val="single"/>
              <w:lang w:eastAsia="en-GB"/>
            </w:rPr>
            <w:t>risk stratification</w:t>
          </w:r>
          <w:r w:rsidRPr="00B1099A">
            <w:rPr>
              <w:rFonts w:eastAsia="Times New Roman" w:cs="Arial"/>
              <w:color w:val="000000"/>
              <w:szCs w:val="24"/>
              <w:lang w:eastAsia="en-GB"/>
            </w:rPr>
            <w:t>. This evidence will be used by CAG to understand public support for the use of confidential patient information in the application and can contribute to wider CAG considerations that the activity is in the public interest.</w:t>
          </w:r>
        </w:p>
        <w:p w14:paraId="22BFFF3F" w14:textId="77777777" w:rsidR="00B1099A" w:rsidRPr="00B1099A" w:rsidRDefault="00B1099A" w:rsidP="00B1099A">
          <w:pPr>
            <w:spacing w:after="300"/>
            <w:rPr>
              <w:rFonts w:eastAsia="Times New Roman" w:cs="Arial"/>
              <w:color w:val="000000"/>
              <w:szCs w:val="24"/>
              <w:lang w:eastAsia="en-GB"/>
            </w:rPr>
          </w:pPr>
          <w:r w:rsidRPr="00B1099A">
            <w:rPr>
              <w:rFonts w:eastAsia="Times New Roman" w:cs="Arial"/>
              <w:color w:val="000000"/>
              <w:szCs w:val="24"/>
              <w:lang w:eastAsia="en-GB"/>
            </w:rPr>
            <w:t>You should follow the HRA </w:t>
          </w:r>
          <w:hyperlink r:id="rId12" w:history="1">
            <w:r w:rsidRPr="00B1099A">
              <w:rPr>
                <w:rFonts w:eastAsia="Times New Roman" w:cs="Arial"/>
                <w:color w:val="0D61B5"/>
                <w:szCs w:val="24"/>
                <w:u w:val="single"/>
                <w:lang w:eastAsia="en-GB"/>
              </w:rPr>
              <w:t>principles of public involvement</w:t>
            </w:r>
          </w:hyperlink>
          <w:r w:rsidRPr="00B1099A">
            <w:rPr>
              <w:rFonts w:eastAsia="Times New Roman" w:cs="Arial"/>
              <w:color w:val="000000"/>
              <w:szCs w:val="24"/>
              <w:lang w:eastAsia="en-GB"/>
            </w:rPr>
            <w:t> when undertaking this work and clearly detail how you have met these along with the outputs in your application form. You can also provide supporting documentation detailing areas such as questions you have used, the responses you received as well as demonstrating it was undertaken with people with relevant lived experience of the health condition or social care situation on your activity.</w:t>
          </w:r>
        </w:p>
        <w:tbl>
          <w:tblPr>
            <w:tblStyle w:val="TableGrid"/>
            <w:tblW w:w="0" w:type="auto"/>
            <w:tblLook w:val="04A0" w:firstRow="1" w:lastRow="0" w:firstColumn="1" w:lastColumn="0" w:noHBand="0" w:noVBand="1"/>
          </w:tblPr>
          <w:tblGrid>
            <w:gridCol w:w="4508"/>
            <w:gridCol w:w="9237"/>
          </w:tblGrid>
          <w:tr w:rsidR="00BD0297" w14:paraId="18B894F3" w14:textId="77777777" w:rsidTr="3C1AD5BA">
            <w:tc>
              <w:tcPr>
                <w:tcW w:w="4508" w:type="dxa"/>
                <w:vMerge w:val="restart"/>
              </w:tcPr>
              <w:p w14:paraId="6AAB84C6" w14:textId="77777777" w:rsidR="00BD0297" w:rsidRPr="002D04AE" w:rsidRDefault="00BD0297" w:rsidP="00E46FCF">
                <w:pPr>
                  <w:rPr>
                    <w:b/>
                    <w:bCs/>
                  </w:rPr>
                </w:pPr>
                <w:r w:rsidRPr="002D04AE">
                  <w:rPr>
                    <w:b/>
                    <w:bCs/>
                  </w:rPr>
                  <w:t>Please provide details on the public involvement undertaken within the ICB for risk stratification.</w:t>
                </w:r>
              </w:p>
              <w:p w14:paraId="314BC893" w14:textId="77777777" w:rsidR="00BD0297" w:rsidRPr="002D04AE" w:rsidRDefault="00BD0297" w:rsidP="00E46FCF">
                <w:pPr>
                  <w:rPr>
                    <w:i/>
                    <w:iCs/>
                    <w:sz w:val="22"/>
                    <w:szCs w:val="20"/>
                  </w:rPr>
                </w:pPr>
                <w:r w:rsidRPr="002D04AE">
                  <w:rPr>
                    <w:i/>
                    <w:iCs/>
                    <w:sz w:val="22"/>
                    <w:szCs w:val="20"/>
                  </w:rPr>
                  <w:lastRenderedPageBreak/>
                  <w:t>It should evidence that attendees were provided an overview of risk stratification and how patient data is used to undertake this., and that attendees were asked their views on the acceptability of doing this without patient consent.</w:t>
                </w:r>
              </w:p>
              <w:p w14:paraId="2ECD26F6" w14:textId="25DE40BA" w:rsidR="00BD0297" w:rsidRDefault="00BD0297" w:rsidP="00E46FCF">
                <w:pPr>
                  <w:rPr>
                    <w:i/>
                    <w:iCs/>
                    <w:sz w:val="22"/>
                    <w:szCs w:val="20"/>
                  </w:rPr>
                </w:pPr>
                <w:r w:rsidRPr="002D04AE">
                  <w:rPr>
                    <w:i/>
                    <w:iCs/>
                    <w:sz w:val="22"/>
                    <w:szCs w:val="20"/>
                  </w:rPr>
                  <w:t xml:space="preserve">It should document the views of those attending, positive and concerns. Where concerns are raised it should </w:t>
                </w:r>
                <w:r w:rsidR="009C2E42" w:rsidRPr="002D04AE">
                  <w:rPr>
                    <w:i/>
                    <w:iCs/>
                    <w:sz w:val="22"/>
                    <w:szCs w:val="20"/>
                  </w:rPr>
                  <w:t>detail</w:t>
                </w:r>
                <w:r w:rsidRPr="002D04AE">
                  <w:rPr>
                    <w:i/>
                    <w:iCs/>
                    <w:sz w:val="22"/>
                    <w:szCs w:val="20"/>
                  </w:rPr>
                  <w:t xml:space="preserve"> evidence on how the ICB has considered any steps that can mitigate these concerns.</w:t>
                </w:r>
              </w:p>
              <w:p w14:paraId="09EEB457" w14:textId="29A40B2F" w:rsidR="00BD0297" w:rsidRDefault="00BD0297" w:rsidP="00E46FCF">
                <w:r w:rsidRPr="00690BF7">
                  <w:rPr>
                    <w:i/>
                    <w:iCs/>
                    <w:sz w:val="22"/>
                    <w:szCs w:val="18"/>
                  </w:rPr>
                  <w:t xml:space="preserve">A separate supporting document can be provided. </w:t>
                </w:r>
              </w:p>
            </w:tc>
            <w:tc>
              <w:tcPr>
                <w:tcW w:w="9237" w:type="dxa"/>
              </w:tcPr>
              <w:p w14:paraId="5F055528" w14:textId="6E359C4E" w:rsidR="00BD0297" w:rsidRDefault="00BD0297" w:rsidP="3C1AD5BA">
                <w:pPr>
                  <w:rPr>
                    <w:i/>
                    <w:iCs/>
                    <w:sz w:val="18"/>
                    <w:szCs w:val="18"/>
                  </w:rPr>
                </w:pPr>
                <w:r w:rsidRPr="3C1AD5BA">
                  <w:rPr>
                    <w:rFonts w:eastAsia="Arial" w:cs="Arial"/>
                    <w:i/>
                    <w:iCs/>
                    <w:sz w:val="18"/>
                    <w:szCs w:val="18"/>
                  </w:rPr>
                  <w:lastRenderedPageBreak/>
                  <w:t xml:space="preserve"> [The public involvement should provide attendees/survey recipients with a plain English overview of what risk stratification is, how patient data (including identifiers) is used to achieve risk stratification. Attendees/survey recipients should be asked whether they support the use of data for this purpose, or if they have any concerns on the use of this data without consent. If in a focus group, concerns can be explored to reassure participants.</w:t>
                </w:r>
              </w:p>
              <w:p w14:paraId="2EA54B18" w14:textId="7E9AF646" w:rsidR="00BD0297" w:rsidRDefault="00BD0297">
                <w:r w:rsidRPr="677C1996">
                  <w:rPr>
                    <w:rFonts w:eastAsia="Arial" w:cs="Arial"/>
                    <w:i/>
                    <w:iCs/>
                    <w:color w:val="7F7F7F" w:themeColor="text1" w:themeTint="80"/>
                    <w:sz w:val="18"/>
                    <w:szCs w:val="18"/>
                  </w:rPr>
                  <w:lastRenderedPageBreak/>
                  <w:t>ICBs may also wish to provide attendees with any draft patient notification materials to the group for comment.</w:t>
                </w:r>
              </w:p>
              <w:p w14:paraId="0DB08810" w14:textId="5A65D4D8" w:rsidR="00BD0297" w:rsidRDefault="00BD0297">
                <w:r w:rsidRPr="677C1996">
                  <w:rPr>
                    <w:rFonts w:eastAsia="Arial" w:cs="Arial"/>
                    <w:i/>
                    <w:iCs/>
                    <w:color w:val="7F7F7F" w:themeColor="text1" w:themeTint="80"/>
                    <w:sz w:val="18"/>
                    <w:szCs w:val="18"/>
                  </w:rPr>
                  <w:t>As part of the CAG submission, please detail the format the public involvement took (survey/focus groups), with whom (</w:t>
                </w:r>
                <w:proofErr w:type="gramStart"/>
                <w:r w:rsidRPr="677C1996">
                  <w:rPr>
                    <w:rFonts w:eastAsia="Arial" w:cs="Arial"/>
                    <w:i/>
                    <w:iCs/>
                    <w:color w:val="7F7F7F" w:themeColor="text1" w:themeTint="80"/>
                    <w:sz w:val="18"/>
                    <w:szCs w:val="18"/>
                  </w:rPr>
                  <w:t>general public</w:t>
                </w:r>
                <w:proofErr w:type="gramEnd"/>
                <w:r w:rsidRPr="677C1996">
                  <w:rPr>
                    <w:rFonts w:eastAsia="Arial" w:cs="Arial"/>
                    <w:i/>
                    <w:iCs/>
                    <w:color w:val="7F7F7F" w:themeColor="text1" w:themeTint="80"/>
                    <w:sz w:val="18"/>
                    <w:szCs w:val="18"/>
                  </w:rPr>
                  <w:t>, established patient group) and how many attendees/responses. The response should also provide an overview of the feedback provided (</w:t>
                </w:r>
                <w:r w:rsidR="009C2E42" w:rsidRPr="677C1996">
                  <w:rPr>
                    <w:rFonts w:eastAsia="Arial" w:cs="Arial"/>
                    <w:i/>
                    <w:iCs/>
                    <w:color w:val="7F7F7F" w:themeColor="text1" w:themeTint="80"/>
                    <w:sz w:val="18"/>
                    <w:szCs w:val="18"/>
                  </w:rPr>
                  <w:t>e.g.,</w:t>
                </w:r>
                <w:r w:rsidRPr="677C1996">
                  <w:rPr>
                    <w:rFonts w:eastAsia="Arial" w:cs="Arial"/>
                    <w:i/>
                    <w:iCs/>
                    <w:color w:val="7F7F7F" w:themeColor="text1" w:themeTint="80"/>
                    <w:sz w:val="18"/>
                    <w:szCs w:val="18"/>
                  </w:rPr>
                  <w:t xml:space="preserve"> were attendees generally supportive). If concerns were raised, please detail what the concerns were and whether attendees were reassured following discussion, and whether you have made any changes as a result. If providing patient notification materials, what were the views of the attendees.). This should be an ongoing dialogue and evidence of proposed activities to support can also be included as evidence.]</w:t>
                </w:r>
              </w:p>
              <w:p w14:paraId="2AA12E89" w14:textId="51804F32" w:rsidR="00BD0297" w:rsidRPr="002844E8" w:rsidRDefault="00BD0297" w:rsidP="677C1996">
                <w:pPr>
                  <w:rPr>
                    <w:i/>
                    <w:iCs/>
                    <w:color w:val="7F7F7F" w:themeColor="text1" w:themeTint="80"/>
                    <w:sz w:val="18"/>
                    <w:szCs w:val="18"/>
                  </w:rPr>
                </w:pPr>
              </w:p>
              <w:p w14:paraId="258920B5" w14:textId="15DA4385" w:rsidR="00BD0297" w:rsidRDefault="00BD0297" w:rsidP="00E46FCF"/>
            </w:tc>
          </w:tr>
          <w:tr w:rsidR="00BD0297" w14:paraId="568DC043" w14:textId="77777777" w:rsidTr="3C1AD5BA">
            <w:tc>
              <w:tcPr>
                <w:tcW w:w="4508" w:type="dxa"/>
                <w:vMerge/>
              </w:tcPr>
              <w:p w14:paraId="4FE6ED40" w14:textId="77777777" w:rsidR="00BD0297" w:rsidRPr="002D04AE" w:rsidRDefault="00BD0297" w:rsidP="00E46FCF">
                <w:pPr>
                  <w:rPr>
                    <w:b/>
                    <w:bCs/>
                  </w:rPr>
                </w:pPr>
              </w:p>
            </w:tc>
            <w:tc>
              <w:tcPr>
                <w:tcW w:w="9237" w:type="dxa"/>
              </w:tcPr>
              <w:p w14:paraId="69289FF7" w14:textId="2AE4DDF3" w:rsidR="00BD0297" w:rsidRPr="00BD0297" w:rsidDel="3F81E7D1" w:rsidRDefault="007C0845" w:rsidP="3C1AD5BA">
                <w:pPr>
                  <w:rPr>
                    <w:i/>
                    <w:iCs/>
                    <w:sz w:val="18"/>
                    <w:szCs w:val="18"/>
                  </w:rPr>
                </w:pPr>
                <w:r w:rsidRPr="002844E8">
                  <w:rPr>
                    <w:i/>
                    <w:iCs/>
                    <w:color w:val="7F7F7F" w:themeColor="text1" w:themeTint="80"/>
                    <w:sz w:val="18"/>
                    <w:szCs w:val="18"/>
                  </w:rPr>
                  <w:t>Appendix</w:t>
                </w:r>
                <w:r w:rsidR="00BD0297" w:rsidRPr="002844E8">
                  <w:rPr>
                    <w:i/>
                    <w:iCs/>
                    <w:color w:val="7F7F7F" w:themeColor="text1" w:themeTint="80"/>
                    <w:sz w:val="18"/>
                    <w:szCs w:val="18"/>
                  </w:rPr>
                  <w:t xml:space="preserve"> </w:t>
                </w:r>
                <w:r w:rsidRPr="002844E8">
                  <w:rPr>
                    <w:i/>
                    <w:iCs/>
                    <w:color w:val="7F7F7F" w:themeColor="text1" w:themeTint="80"/>
                    <w:sz w:val="18"/>
                    <w:szCs w:val="18"/>
                  </w:rPr>
                  <w:t>information reference</w:t>
                </w:r>
              </w:p>
            </w:tc>
          </w:tr>
        </w:tbl>
        <w:p w14:paraId="5F2488A3" w14:textId="48C1E514" w:rsidR="0005669F" w:rsidRDefault="0005669F" w:rsidP="00E46FCF"/>
        <w:p w14:paraId="5AEAD626" w14:textId="5A07FDB1" w:rsidR="00061DB6" w:rsidRDefault="00061DB6" w:rsidP="002844E8">
          <w:pPr>
            <w:pStyle w:val="Heading2"/>
          </w:pPr>
          <w:r>
            <w:t xml:space="preserve">Patient Benefits </w:t>
          </w:r>
        </w:p>
        <w:tbl>
          <w:tblPr>
            <w:tblStyle w:val="TableGrid"/>
            <w:tblW w:w="0" w:type="auto"/>
            <w:tblLook w:val="04A0" w:firstRow="1" w:lastRow="0" w:firstColumn="1" w:lastColumn="0" w:noHBand="0" w:noVBand="1"/>
          </w:tblPr>
          <w:tblGrid>
            <w:gridCol w:w="4673"/>
            <w:gridCol w:w="9072"/>
          </w:tblGrid>
          <w:tr w:rsidR="00061DB6" w14:paraId="2B89A77B" w14:textId="77777777" w:rsidTr="002844E8">
            <w:tc>
              <w:tcPr>
                <w:tcW w:w="4673" w:type="dxa"/>
              </w:tcPr>
              <w:p w14:paraId="307548CC" w14:textId="77777777" w:rsidR="00061DB6" w:rsidRDefault="00061DB6" w:rsidP="002844E8">
                <w:pPr>
                  <w:keepLines/>
                  <w:spacing w:before="120"/>
                  <w:ind w:right="41"/>
                </w:pPr>
                <w:r w:rsidRPr="00A66EDF">
                  <w:t xml:space="preserve">Describe how the information without consent </w:t>
                </w:r>
                <w:r>
                  <w:t>has</w:t>
                </w:r>
                <w:r w:rsidRPr="00A66EDF">
                  <w:t xml:space="preserve"> improve patient care and serve the wider public interest? </w:t>
                </w:r>
              </w:p>
              <w:p w14:paraId="1E767827" w14:textId="77777777" w:rsidR="00061DB6" w:rsidRPr="00334361" w:rsidRDefault="00061DB6" w:rsidP="00061DB6">
                <w:pPr>
                  <w:rPr>
                    <w:i/>
                    <w:iCs/>
                    <w:sz w:val="22"/>
                    <w:szCs w:val="18"/>
                  </w:rPr>
                </w:pPr>
                <w:r w:rsidRPr="00334361">
                  <w:rPr>
                    <w:i/>
                    <w:iCs/>
                    <w:sz w:val="22"/>
                    <w:szCs w:val="18"/>
                  </w:rPr>
                  <w:t xml:space="preserve">The response should highlight demonstrable evidence of the benefits that risk stratification has had </w:t>
                </w:r>
                <w:r>
                  <w:rPr>
                    <w:i/>
                    <w:iCs/>
                    <w:sz w:val="22"/>
                    <w:szCs w:val="18"/>
                  </w:rPr>
                  <w:t>to the patient population</w:t>
                </w:r>
                <w:r w:rsidRPr="00334361">
                  <w:rPr>
                    <w:i/>
                    <w:iCs/>
                    <w:sz w:val="22"/>
                    <w:szCs w:val="18"/>
                  </w:rPr>
                  <w:t xml:space="preserve">, over the past 10 years of the activity having Regulation 5 </w:t>
                </w:r>
                <w:r w:rsidRPr="00E328DC">
                  <w:rPr>
                    <w:i/>
                    <w:iCs/>
                    <w:sz w:val="22"/>
                    <w:szCs w:val="18"/>
                  </w:rPr>
                  <w:t>support</w:t>
                </w:r>
                <w:r w:rsidRPr="00334361">
                  <w:rPr>
                    <w:i/>
                    <w:iCs/>
                    <w:sz w:val="22"/>
                    <w:szCs w:val="18"/>
                  </w:rPr>
                  <w:t>.</w:t>
                </w:r>
              </w:p>
              <w:p w14:paraId="13B480CE" w14:textId="77777777" w:rsidR="00061DB6" w:rsidRDefault="00061DB6" w:rsidP="00061DB6"/>
            </w:tc>
            <w:tc>
              <w:tcPr>
                <w:tcW w:w="9072" w:type="dxa"/>
              </w:tcPr>
              <w:p w14:paraId="0EBE09C6" w14:textId="5971BF30" w:rsidR="00061DB6" w:rsidRDefault="00061DB6" w:rsidP="00061DB6">
                <w:r w:rsidRPr="00320C11">
                  <w:rPr>
                    <w:i/>
                    <w:iCs/>
                    <w:color w:val="7F7F7F" w:themeColor="text1" w:themeTint="80"/>
                    <w:sz w:val="18"/>
                    <w:szCs w:val="18"/>
                  </w:rPr>
                  <w:t xml:space="preserve">[The ICB can demonstrate that </w:t>
                </w:r>
                <w:proofErr w:type="gramStart"/>
                <w:r w:rsidRPr="00320C11">
                  <w:rPr>
                    <w:i/>
                    <w:iCs/>
                    <w:color w:val="7F7F7F" w:themeColor="text1" w:themeTint="80"/>
                    <w:sz w:val="18"/>
                    <w:szCs w:val="18"/>
                  </w:rPr>
                  <w:t>as a result</w:t>
                </w:r>
                <w:r>
                  <w:rPr>
                    <w:i/>
                    <w:iCs/>
                    <w:color w:val="7F7F7F" w:themeColor="text1" w:themeTint="80"/>
                    <w:sz w:val="18"/>
                    <w:szCs w:val="18"/>
                  </w:rPr>
                  <w:t xml:space="preserve"> of</w:t>
                </w:r>
                <w:proofErr w:type="gramEnd"/>
                <w:r>
                  <w:rPr>
                    <w:i/>
                    <w:iCs/>
                    <w:color w:val="7F7F7F" w:themeColor="text1" w:themeTint="80"/>
                    <w:sz w:val="18"/>
                    <w:szCs w:val="18"/>
                  </w:rPr>
                  <w:t xml:space="preserve"> risk stratification</w:t>
                </w:r>
                <w:r w:rsidRPr="00320C11">
                  <w:rPr>
                    <w:i/>
                    <w:iCs/>
                    <w:color w:val="7F7F7F" w:themeColor="text1" w:themeTint="80"/>
                    <w:sz w:val="18"/>
                    <w:szCs w:val="18"/>
                  </w:rPr>
                  <w:t>, the improvements</w:t>
                </w:r>
                <w:r>
                  <w:rPr>
                    <w:i/>
                    <w:iCs/>
                    <w:color w:val="7F7F7F" w:themeColor="text1" w:themeTint="80"/>
                    <w:sz w:val="18"/>
                    <w:szCs w:val="18"/>
                  </w:rPr>
                  <w:t xml:space="preserve"> and /</w:t>
                </w:r>
                <w:r w:rsidRPr="00320C11">
                  <w:rPr>
                    <w:i/>
                    <w:iCs/>
                    <w:color w:val="7F7F7F" w:themeColor="text1" w:themeTint="80"/>
                    <w:sz w:val="18"/>
                    <w:szCs w:val="18"/>
                  </w:rPr>
                  <w:t xml:space="preserve"> or interventions that have been implemented. That the risk stratification activity through the suppliers is achieving the objective and delivering value] </w:t>
                </w:r>
              </w:p>
            </w:tc>
          </w:tr>
        </w:tbl>
        <w:p w14:paraId="5A590BC9" w14:textId="77777777" w:rsidR="00061DB6" w:rsidRPr="00061DB6" w:rsidRDefault="00061DB6" w:rsidP="00061DB6"/>
        <w:p w14:paraId="0AB24AF5" w14:textId="77777777" w:rsidR="00AB7522" w:rsidRDefault="00AB7522" w:rsidP="4BF57C3C">
          <w:pPr>
            <w:rPr>
              <w:rFonts w:eastAsia="Arial" w:cs="Arial"/>
              <w:szCs w:val="24"/>
            </w:rPr>
            <w:sectPr w:rsidR="00AB7522" w:rsidSect="00A95AD1">
              <w:footerReference w:type="first" r:id="rId13"/>
              <w:pgSz w:w="16838" w:h="11906" w:orient="landscape"/>
              <w:pgMar w:top="1440" w:right="1418" w:bottom="1440" w:left="1440" w:header="711" w:footer="708" w:gutter="0"/>
              <w:pgNumType w:start="0"/>
              <w:cols w:space="708"/>
              <w:titlePg/>
              <w:docGrid w:linePitch="360"/>
            </w:sectPr>
          </w:pPr>
        </w:p>
        <w:p w14:paraId="517E0BFA" w14:textId="0304E183" w:rsidR="002D04AE" w:rsidRDefault="007E6694" w:rsidP="00690BF7">
          <w:pPr>
            <w:pStyle w:val="Heading2"/>
          </w:pPr>
          <w:r>
            <w:lastRenderedPageBreak/>
            <w:t>Signatures</w:t>
          </w:r>
        </w:p>
        <w:p w14:paraId="6D4C0C85" w14:textId="52E43B52" w:rsidR="007E6694" w:rsidRDefault="007E6694" w:rsidP="00E46FCF">
          <w:r>
            <w:t>The authorised individual should sign below, to confirm</w:t>
          </w:r>
          <w:r w:rsidR="002C71EE">
            <w:t xml:space="preserve"> the following:</w:t>
          </w:r>
        </w:p>
        <w:p w14:paraId="18C4ADD4" w14:textId="0BF3A05B" w:rsidR="002C71EE" w:rsidRDefault="002C71EE" w:rsidP="002C71EE">
          <w:pPr>
            <w:pStyle w:val="ListParagraph"/>
            <w:numPr>
              <w:ilvl w:val="0"/>
              <w:numId w:val="41"/>
            </w:numPr>
          </w:pPr>
          <w:r>
            <w:t xml:space="preserve">I have read the </w:t>
          </w:r>
          <w:r w:rsidR="00531524">
            <w:t xml:space="preserve">core </w:t>
          </w:r>
          <w:r w:rsidR="003E4481">
            <w:t>application and</w:t>
          </w:r>
          <w:r>
            <w:t xml:space="preserve"> confirm </w:t>
          </w:r>
          <w:r w:rsidR="00BA2CE3">
            <w:t>that the ICB will adhere to the data flows and purposes detailed within.</w:t>
          </w:r>
        </w:p>
        <w:p w14:paraId="43CCBE99" w14:textId="1C5B6CF2" w:rsidR="00BA2CE3" w:rsidRDefault="00BA2CE3" w:rsidP="002C71EE">
          <w:pPr>
            <w:pStyle w:val="ListParagraph"/>
            <w:numPr>
              <w:ilvl w:val="0"/>
              <w:numId w:val="41"/>
            </w:numPr>
          </w:pPr>
          <w:r>
            <w:t xml:space="preserve">I confirm any proposed changes </w:t>
          </w:r>
          <w:r w:rsidR="00531524">
            <w:t>to the core application or the information within th</w:t>
          </w:r>
          <w:r w:rsidR="00D4013E">
            <w:t>is supplementary document</w:t>
          </w:r>
          <w:r w:rsidR="00531524">
            <w:t xml:space="preserve"> </w:t>
          </w:r>
          <w:r w:rsidR="0020107C">
            <w:t>will be submitted as an amendment</w:t>
          </w:r>
          <w:r w:rsidR="003506FC">
            <w:t xml:space="preserve"> to </w:t>
          </w:r>
          <w:r w:rsidR="009C2E42">
            <w:t>CAG.</w:t>
          </w:r>
        </w:p>
        <w:p w14:paraId="48BDD812" w14:textId="7A6F47FE" w:rsidR="0020107C" w:rsidRDefault="0020107C" w:rsidP="002C71EE">
          <w:pPr>
            <w:pStyle w:val="ListParagraph"/>
            <w:numPr>
              <w:ilvl w:val="0"/>
              <w:numId w:val="41"/>
            </w:numPr>
          </w:pPr>
          <w:r>
            <w:t xml:space="preserve">I confirm that the above information is an accurate summary of the steps taken by the ICB to involve and inform the patient </w:t>
          </w:r>
          <w:r w:rsidR="009C2E42">
            <w:t>population.</w:t>
          </w:r>
        </w:p>
        <w:p w14:paraId="78FB9BF6" w14:textId="09CFFA36" w:rsidR="00690BF7" w:rsidRDefault="00690BF7" w:rsidP="00690BF7"/>
        <w:p w14:paraId="0ABE906F" w14:textId="0D82C7BD" w:rsidR="00690BF7" w:rsidRDefault="00690BF7" w:rsidP="00690BF7">
          <w:r w:rsidRPr="00690BF7">
            <w:rPr>
              <w:b/>
              <w:bCs/>
            </w:rPr>
            <w:t xml:space="preserve">Name: </w:t>
          </w:r>
          <w:r>
            <w:t>__________________________</w:t>
          </w:r>
        </w:p>
        <w:p w14:paraId="6D354FDC" w14:textId="77777777" w:rsidR="00690BF7" w:rsidRDefault="00690BF7" w:rsidP="00690BF7"/>
        <w:p w14:paraId="14D9057D" w14:textId="31459F96" w:rsidR="00690BF7" w:rsidRDefault="00690BF7" w:rsidP="00690BF7">
          <w:r w:rsidRPr="00690BF7">
            <w:rPr>
              <w:b/>
              <w:bCs/>
            </w:rPr>
            <w:t>Role:</w:t>
          </w:r>
          <w:r>
            <w:t xml:space="preserve"> ___________________________</w:t>
          </w:r>
        </w:p>
        <w:p w14:paraId="57081049" w14:textId="77777777" w:rsidR="00690BF7" w:rsidRDefault="00690BF7" w:rsidP="00690BF7"/>
        <w:p w14:paraId="2C97B777" w14:textId="0E3147DF" w:rsidR="00690BF7" w:rsidRDefault="00690BF7" w:rsidP="00690BF7">
          <w:r w:rsidRPr="00690BF7">
            <w:rPr>
              <w:b/>
              <w:bCs/>
            </w:rPr>
            <w:t>Date:</w:t>
          </w:r>
          <w:r>
            <w:t xml:space="preserve"> ____________________</w:t>
          </w:r>
        </w:p>
        <w:p w14:paraId="56790764" w14:textId="3F79AC4C" w:rsidR="00060A6E" w:rsidRPr="00DA6A08" w:rsidRDefault="00C23367" w:rsidP="00661D32"/>
      </w:sdtContent>
    </w:sdt>
    <w:p w14:paraId="305857A7" w14:textId="77777777" w:rsidR="003506FC" w:rsidRDefault="003506FC" w:rsidP="00C6274E">
      <w:pPr>
        <w:sectPr w:rsidR="003506FC" w:rsidSect="00A95AD1">
          <w:pgSz w:w="16838" w:h="11906" w:orient="landscape"/>
          <w:pgMar w:top="1440" w:right="1418" w:bottom="1440" w:left="1440" w:header="711" w:footer="708" w:gutter="0"/>
          <w:pgNumType w:start="0"/>
          <w:cols w:space="708"/>
          <w:titlePg/>
          <w:docGrid w:linePitch="360"/>
        </w:sectPr>
      </w:pPr>
    </w:p>
    <w:p w14:paraId="081C45CE" w14:textId="71850BF4" w:rsidR="00111A99" w:rsidRDefault="00C7781A" w:rsidP="003506FC">
      <w:pPr>
        <w:pStyle w:val="Heading2"/>
      </w:pPr>
      <w:r>
        <w:lastRenderedPageBreak/>
        <w:t xml:space="preserve">Appendices </w:t>
      </w:r>
    </w:p>
    <w:p w14:paraId="4A7867B2" w14:textId="11BE6DD6" w:rsidR="00C7781A" w:rsidRPr="00804DD6" w:rsidRDefault="00C7781A" w:rsidP="00C6274E">
      <w:r>
        <w:t xml:space="preserve">Appendix 1 - </w:t>
      </w:r>
    </w:p>
    <w:sectPr w:rsidR="00C7781A" w:rsidRPr="00804DD6" w:rsidSect="00A95AD1">
      <w:pgSz w:w="16838" w:h="11906" w:orient="landscape"/>
      <w:pgMar w:top="1440" w:right="1418" w:bottom="1440" w:left="1440" w:header="711"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0570E" w14:textId="77777777" w:rsidR="00F21B38" w:rsidRDefault="00F21B38" w:rsidP="00D478D4">
      <w:r>
        <w:separator/>
      </w:r>
    </w:p>
  </w:endnote>
  <w:endnote w:type="continuationSeparator" w:id="0">
    <w:p w14:paraId="02835D0E" w14:textId="77777777" w:rsidR="00F21B38" w:rsidRDefault="00F21B38" w:rsidP="00D478D4">
      <w:r>
        <w:continuationSeparator/>
      </w:r>
    </w:p>
  </w:endnote>
  <w:endnote w:type="continuationNotice" w:id="1">
    <w:p w14:paraId="7B271502" w14:textId="77777777" w:rsidR="00F21B38" w:rsidRDefault="00F21B3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425A7" w14:textId="1CE9A7D6" w:rsidR="003429C4" w:rsidRDefault="002844E8">
    <w:pPr>
      <w:pStyle w:val="Footer"/>
    </w:pPr>
    <w:r>
      <w:t xml:space="preserve">S251 </w:t>
    </w:r>
    <w:r w:rsidR="003429C4">
      <w:t xml:space="preserve">Risk Stratification Supplementary Information </w:t>
    </w:r>
    <w:r>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7AC17" w14:textId="77777777" w:rsidR="00F21B38" w:rsidRDefault="00F21B38" w:rsidP="00D478D4">
      <w:r>
        <w:separator/>
      </w:r>
    </w:p>
  </w:footnote>
  <w:footnote w:type="continuationSeparator" w:id="0">
    <w:p w14:paraId="19B67A7B" w14:textId="77777777" w:rsidR="00F21B38" w:rsidRDefault="00F21B38" w:rsidP="00D478D4">
      <w:r>
        <w:continuationSeparator/>
      </w:r>
    </w:p>
  </w:footnote>
  <w:footnote w:type="continuationNotice" w:id="1">
    <w:p w14:paraId="063E529C" w14:textId="77777777" w:rsidR="00F21B38" w:rsidRDefault="00F21B3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04CE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5A0C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7261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7E70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E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D45E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7653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3A65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3AC8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0247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01B6E"/>
    <w:multiLevelType w:val="hybridMultilevel"/>
    <w:tmpl w:val="1BC6F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1484ADF"/>
    <w:multiLevelType w:val="hybridMultilevel"/>
    <w:tmpl w:val="BD8407D6"/>
    <w:lvl w:ilvl="0" w:tplc="C09CD2A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0E1AD9"/>
    <w:multiLevelType w:val="hybridMultilevel"/>
    <w:tmpl w:val="43325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201794"/>
    <w:multiLevelType w:val="hybridMultilevel"/>
    <w:tmpl w:val="62467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E90C64"/>
    <w:multiLevelType w:val="hybridMultilevel"/>
    <w:tmpl w:val="26FCE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90C537F"/>
    <w:multiLevelType w:val="multilevel"/>
    <w:tmpl w:val="029A3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D9E10E9"/>
    <w:multiLevelType w:val="hybridMultilevel"/>
    <w:tmpl w:val="BDF635B8"/>
    <w:lvl w:ilvl="0" w:tplc="65920018">
      <w:start w:val="1"/>
      <w:numFmt w:val="bullet"/>
      <w:lvlText w:val=""/>
      <w:lvlJc w:val="left"/>
      <w:pPr>
        <w:ind w:left="1440" w:hanging="360"/>
      </w:pPr>
      <w:rPr>
        <w:rFonts w:ascii="Symbol" w:hAnsi="Symbol"/>
      </w:rPr>
    </w:lvl>
    <w:lvl w:ilvl="1" w:tplc="FF3AEF76">
      <w:start w:val="1"/>
      <w:numFmt w:val="bullet"/>
      <w:lvlText w:val=""/>
      <w:lvlJc w:val="left"/>
      <w:pPr>
        <w:ind w:left="1440" w:hanging="360"/>
      </w:pPr>
      <w:rPr>
        <w:rFonts w:ascii="Symbol" w:hAnsi="Symbol"/>
      </w:rPr>
    </w:lvl>
    <w:lvl w:ilvl="2" w:tplc="30349BC6">
      <w:start w:val="1"/>
      <w:numFmt w:val="bullet"/>
      <w:lvlText w:val=""/>
      <w:lvlJc w:val="left"/>
      <w:pPr>
        <w:ind w:left="1440" w:hanging="360"/>
      </w:pPr>
      <w:rPr>
        <w:rFonts w:ascii="Symbol" w:hAnsi="Symbol"/>
      </w:rPr>
    </w:lvl>
    <w:lvl w:ilvl="3" w:tplc="70EA609E">
      <w:start w:val="1"/>
      <w:numFmt w:val="bullet"/>
      <w:lvlText w:val=""/>
      <w:lvlJc w:val="left"/>
      <w:pPr>
        <w:ind w:left="1440" w:hanging="360"/>
      </w:pPr>
      <w:rPr>
        <w:rFonts w:ascii="Symbol" w:hAnsi="Symbol"/>
      </w:rPr>
    </w:lvl>
    <w:lvl w:ilvl="4" w:tplc="1BC6DC02">
      <w:start w:val="1"/>
      <w:numFmt w:val="bullet"/>
      <w:lvlText w:val=""/>
      <w:lvlJc w:val="left"/>
      <w:pPr>
        <w:ind w:left="1440" w:hanging="360"/>
      </w:pPr>
      <w:rPr>
        <w:rFonts w:ascii="Symbol" w:hAnsi="Symbol"/>
      </w:rPr>
    </w:lvl>
    <w:lvl w:ilvl="5" w:tplc="F512414E">
      <w:start w:val="1"/>
      <w:numFmt w:val="bullet"/>
      <w:lvlText w:val=""/>
      <w:lvlJc w:val="left"/>
      <w:pPr>
        <w:ind w:left="1440" w:hanging="360"/>
      </w:pPr>
      <w:rPr>
        <w:rFonts w:ascii="Symbol" w:hAnsi="Symbol"/>
      </w:rPr>
    </w:lvl>
    <w:lvl w:ilvl="6" w:tplc="BC127D30">
      <w:start w:val="1"/>
      <w:numFmt w:val="bullet"/>
      <w:lvlText w:val=""/>
      <w:lvlJc w:val="left"/>
      <w:pPr>
        <w:ind w:left="1440" w:hanging="360"/>
      </w:pPr>
      <w:rPr>
        <w:rFonts w:ascii="Symbol" w:hAnsi="Symbol"/>
      </w:rPr>
    </w:lvl>
    <w:lvl w:ilvl="7" w:tplc="095ED3C0">
      <w:start w:val="1"/>
      <w:numFmt w:val="bullet"/>
      <w:lvlText w:val=""/>
      <w:lvlJc w:val="left"/>
      <w:pPr>
        <w:ind w:left="1440" w:hanging="360"/>
      </w:pPr>
      <w:rPr>
        <w:rFonts w:ascii="Symbol" w:hAnsi="Symbol"/>
      </w:rPr>
    </w:lvl>
    <w:lvl w:ilvl="8" w:tplc="14288D1A">
      <w:start w:val="1"/>
      <w:numFmt w:val="bullet"/>
      <w:lvlText w:val=""/>
      <w:lvlJc w:val="left"/>
      <w:pPr>
        <w:ind w:left="1440" w:hanging="360"/>
      </w:pPr>
      <w:rPr>
        <w:rFonts w:ascii="Symbol" w:hAnsi="Symbol"/>
      </w:rPr>
    </w:lvl>
  </w:abstractNum>
  <w:abstractNum w:abstractNumId="17" w15:restartNumberingAfterBreak="0">
    <w:nsid w:val="0DE7160A"/>
    <w:multiLevelType w:val="hybridMultilevel"/>
    <w:tmpl w:val="67FA7ED6"/>
    <w:lvl w:ilvl="0" w:tplc="03E23EEC">
      <w:start w:val="1"/>
      <w:numFmt w:val="bullet"/>
      <w:pStyle w:val="ListParagraph"/>
      <w:lvlText w:val=""/>
      <w:lvlJc w:val="left"/>
      <w:pPr>
        <w:ind w:left="720" w:hanging="360"/>
      </w:pPr>
      <w:rPr>
        <w:rFonts w:ascii="Symbol" w:hAnsi="Symbol" w:hint="default"/>
      </w:rPr>
    </w:lvl>
    <w:lvl w:ilvl="1" w:tplc="438497B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E934A41"/>
    <w:multiLevelType w:val="hybridMultilevel"/>
    <w:tmpl w:val="A7A4D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F2249A0"/>
    <w:multiLevelType w:val="hybridMultilevel"/>
    <w:tmpl w:val="9E3C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13D73B8"/>
    <w:multiLevelType w:val="hybridMultilevel"/>
    <w:tmpl w:val="F020C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4068A4"/>
    <w:multiLevelType w:val="hybridMultilevel"/>
    <w:tmpl w:val="369A2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19B1633"/>
    <w:multiLevelType w:val="hybridMultilevel"/>
    <w:tmpl w:val="C2AA6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6FE40F4"/>
    <w:multiLevelType w:val="hybridMultilevel"/>
    <w:tmpl w:val="476C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9D40163"/>
    <w:multiLevelType w:val="multilevel"/>
    <w:tmpl w:val="FE549CAA"/>
    <w:styleLink w:val="BulletList"/>
    <w:lvl w:ilvl="0">
      <w:start w:val="1"/>
      <w:numFmt w:val="bullet"/>
      <w:lvlText w:val=""/>
      <w:lvlJc w:val="left"/>
      <w:pPr>
        <w:ind w:left="6480" w:hanging="360"/>
      </w:pPr>
      <w:rPr>
        <w:rFonts w:ascii="Symbol" w:hAnsi="Symbol" w:hint="default"/>
      </w:rPr>
    </w:lvl>
    <w:lvl w:ilvl="1">
      <w:start w:val="1"/>
      <w:numFmt w:val="bullet"/>
      <w:lvlText w:val=""/>
      <w:lvlJc w:val="left"/>
      <w:pPr>
        <w:ind w:left="7200" w:hanging="360"/>
      </w:pPr>
      <w:rPr>
        <w:rFonts w:ascii="Wingdings" w:hAnsi="Wingdings" w:hint="default"/>
        <w:color w:val="auto"/>
      </w:rPr>
    </w:lvl>
    <w:lvl w:ilvl="2">
      <w:start w:val="1"/>
      <w:numFmt w:val="bullet"/>
      <w:lvlText w:val=""/>
      <w:lvlJc w:val="left"/>
      <w:pPr>
        <w:ind w:left="7920" w:hanging="360"/>
      </w:pPr>
      <w:rPr>
        <w:rFonts w:ascii="Wingdings" w:hAnsi="Wingdings" w:hint="default"/>
      </w:rPr>
    </w:lvl>
    <w:lvl w:ilvl="3">
      <w:start w:val="1"/>
      <w:numFmt w:val="bullet"/>
      <w:lvlText w:val=""/>
      <w:lvlJc w:val="left"/>
      <w:pPr>
        <w:ind w:left="8640" w:hanging="360"/>
      </w:pPr>
      <w:rPr>
        <w:rFonts w:ascii="Wingdings" w:hAnsi="Wingdings" w:hint="default"/>
      </w:rPr>
    </w:lvl>
    <w:lvl w:ilvl="4">
      <w:start w:val="1"/>
      <w:numFmt w:val="bullet"/>
      <w:lvlText w:val=""/>
      <w:lvlJc w:val="left"/>
      <w:pPr>
        <w:ind w:left="9360" w:hanging="360"/>
      </w:pPr>
      <w:rPr>
        <w:rFonts w:ascii="Wingdings" w:hAnsi="Wingdings" w:hint="default"/>
      </w:rPr>
    </w:lvl>
    <w:lvl w:ilvl="5">
      <w:start w:val="1"/>
      <w:numFmt w:val="bullet"/>
      <w:lvlText w:val=""/>
      <w:lvlJc w:val="left"/>
      <w:pPr>
        <w:ind w:left="10080" w:hanging="360"/>
      </w:pPr>
      <w:rPr>
        <w:rFonts w:ascii="Wingdings" w:hAnsi="Wingdings" w:hint="default"/>
      </w:rPr>
    </w:lvl>
    <w:lvl w:ilvl="6">
      <w:start w:val="1"/>
      <w:numFmt w:val="bullet"/>
      <w:lvlText w:val=""/>
      <w:lvlJc w:val="left"/>
      <w:pPr>
        <w:ind w:left="10800" w:hanging="360"/>
      </w:pPr>
      <w:rPr>
        <w:rFonts w:ascii="Wingdings" w:hAnsi="Wingdings" w:hint="default"/>
      </w:rPr>
    </w:lvl>
    <w:lvl w:ilvl="7">
      <w:start w:val="1"/>
      <w:numFmt w:val="bullet"/>
      <w:lvlText w:val=""/>
      <w:lvlJc w:val="left"/>
      <w:pPr>
        <w:ind w:left="11520" w:hanging="360"/>
      </w:pPr>
      <w:rPr>
        <w:rFonts w:ascii="Wingdings" w:hAnsi="Wingdings" w:hint="default"/>
      </w:rPr>
    </w:lvl>
    <w:lvl w:ilvl="8">
      <w:start w:val="1"/>
      <w:numFmt w:val="bullet"/>
      <w:lvlText w:val=""/>
      <w:lvlJc w:val="left"/>
      <w:pPr>
        <w:ind w:left="12240" w:hanging="360"/>
      </w:pPr>
      <w:rPr>
        <w:rFonts w:ascii="Wingdings" w:hAnsi="Wingdings" w:hint="default"/>
      </w:rPr>
    </w:lvl>
  </w:abstractNum>
  <w:abstractNum w:abstractNumId="25" w15:restartNumberingAfterBreak="0">
    <w:nsid w:val="19E46445"/>
    <w:multiLevelType w:val="hybridMultilevel"/>
    <w:tmpl w:val="73785F2A"/>
    <w:lvl w:ilvl="0" w:tplc="5A665F96">
      <w:start w:val="13"/>
      <w:numFmt w:val="lowerLetter"/>
      <w:lvlText w:val="(%1)"/>
      <w:lvlJc w:val="left"/>
      <w:pPr>
        <w:ind w:left="732" w:hanging="3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2B22E4B"/>
    <w:multiLevelType w:val="hybridMultilevel"/>
    <w:tmpl w:val="68980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B7C6778"/>
    <w:multiLevelType w:val="singleLevel"/>
    <w:tmpl w:val="5FBE5C30"/>
    <w:lvl w:ilvl="0">
      <w:start w:val="1"/>
      <w:numFmt w:val="lowerRoman"/>
      <w:lvlText w:val="%1)"/>
      <w:lvlJc w:val="left"/>
      <w:pPr>
        <w:tabs>
          <w:tab w:val="num" w:pos="1429"/>
        </w:tabs>
        <w:ind w:left="1429" w:hanging="720"/>
      </w:pPr>
      <w:rPr>
        <w:rFonts w:cs="Times New Roman" w:hint="default"/>
      </w:rPr>
    </w:lvl>
  </w:abstractNum>
  <w:abstractNum w:abstractNumId="28" w15:restartNumberingAfterBreak="0">
    <w:nsid w:val="32B17D34"/>
    <w:multiLevelType w:val="multilevel"/>
    <w:tmpl w:val="0809001D"/>
    <w:numStyleLink w:val="test"/>
  </w:abstractNum>
  <w:abstractNum w:abstractNumId="29" w15:restartNumberingAfterBreak="0">
    <w:nsid w:val="33AD20D9"/>
    <w:multiLevelType w:val="hybridMultilevel"/>
    <w:tmpl w:val="A2087460"/>
    <w:lvl w:ilvl="0" w:tplc="EFBEEE02">
      <w:start w:val="1"/>
      <w:numFmt w:val="bullet"/>
      <w:lvlText w:val=""/>
      <w:lvlJc w:val="left"/>
      <w:pPr>
        <w:ind w:left="720" w:hanging="360"/>
      </w:pPr>
      <w:rPr>
        <w:rFonts w:ascii="Symbol" w:hAnsi="Symbol"/>
      </w:rPr>
    </w:lvl>
    <w:lvl w:ilvl="1" w:tplc="82662C28">
      <w:start w:val="1"/>
      <w:numFmt w:val="bullet"/>
      <w:lvlText w:val=""/>
      <w:lvlJc w:val="left"/>
      <w:pPr>
        <w:ind w:left="720" w:hanging="360"/>
      </w:pPr>
      <w:rPr>
        <w:rFonts w:ascii="Symbol" w:hAnsi="Symbol"/>
      </w:rPr>
    </w:lvl>
    <w:lvl w:ilvl="2" w:tplc="6838AC30">
      <w:start w:val="1"/>
      <w:numFmt w:val="bullet"/>
      <w:lvlText w:val=""/>
      <w:lvlJc w:val="left"/>
      <w:pPr>
        <w:ind w:left="720" w:hanging="360"/>
      </w:pPr>
      <w:rPr>
        <w:rFonts w:ascii="Symbol" w:hAnsi="Symbol"/>
      </w:rPr>
    </w:lvl>
    <w:lvl w:ilvl="3" w:tplc="4CD029C4">
      <w:start w:val="1"/>
      <w:numFmt w:val="bullet"/>
      <w:lvlText w:val=""/>
      <w:lvlJc w:val="left"/>
      <w:pPr>
        <w:ind w:left="720" w:hanging="360"/>
      </w:pPr>
      <w:rPr>
        <w:rFonts w:ascii="Symbol" w:hAnsi="Symbol"/>
      </w:rPr>
    </w:lvl>
    <w:lvl w:ilvl="4" w:tplc="9D80D370">
      <w:start w:val="1"/>
      <w:numFmt w:val="bullet"/>
      <w:lvlText w:val=""/>
      <w:lvlJc w:val="left"/>
      <w:pPr>
        <w:ind w:left="720" w:hanging="360"/>
      </w:pPr>
      <w:rPr>
        <w:rFonts w:ascii="Symbol" w:hAnsi="Symbol"/>
      </w:rPr>
    </w:lvl>
    <w:lvl w:ilvl="5" w:tplc="F940D30E">
      <w:start w:val="1"/>
      <w:numFmt w:val="bullet"/>
      <w:lvlText w:val=""/>
      <w:lvlJc w:val="left"/>
      <w:pPr>
        <w:ind w:left="720" w:hanging="360"/>
      </w:pPr>
      <w:rPr>
        <w:rFonts w:ascii="Symbol" w:hAnsi="Symbol"/>
      </w:rPr>
    </w:lvl>
    <w:lvl w:ilvl="6" w:tplc="76A89496">
      <w:start w:val="1"/>
      <w:numFmt w:val="bullet"/>
      <w:lvlText w:val=""/>
      <w:lvlJc w:val="left"/>
      <w:pPr>
        <w:ind w:left="720" w:hanging="360"/>
      </w:pPr>
      <w:rPr>
        <w:rFonts w:ascii="Symbol" w:hAnsi="Symbol"/>
      </w:rPr>
    </w:lvl>
    <w:lvl w:ilvl="7" w:tplc="D210703E">
      <w:start w:val="1"/>
      <w:numFmt w:val="bullet"/>
      <w:lvlText w:val=""/>
      <w:lvlJc w:val="left"/>
      <w:pPr>
        <w:ind w:left="720" w:hanging="360"/>
      </w:pPr>
      <w:rPr>
        <w:rFonts w:ascii="Symbol" w:hAnsi="Symbol"/>
      </w:rPr>
    </w:lvl>
    <w:lvl w:ilvl="8" w:tplc="8C26206A">
      <w:start w:val="1"/>
      <w:numFmt w:val="bullet"/>
      <w:lvlText w:val=""/>
      <w:lvlJc w:val="left"/>
      <w:pPr>
        <w:ind w:left="720" w:hanging="360"/>
      </w:pPr>
      <w:rPr>
        <w:rFonts w:ascii="Symbol" w:hAnsi="Symbol"/>
      </w:rPr>
    </w:lvl>
  </w:abstractNum>
  <w:abstractNum w:abstractNumId="30" w15:restartNumberingAfterBreak="0">
    <w:nsid w:val="3C710A40"/>
    <w:multiLevelType w:val="hybridMultilevel"/>
    <w:tmpl w:val="BB368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F3A4301"/>
    <w:multiLevelType w:val="singleLevel"/>
    <w:tmpl w:val="F7DA0B42"/>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44E015D2"/>
    <w:multiLevelType w:val="hybridMultilevel"/>
    <w:tmpl w:val="436A91D6"/>
    <w:lvl w:ilvl="0" w:tplc="0809000F">
      <w:start w:val="1"/>
      <w:numFmt w:val="decimal"/>
      <w:lvlText w:val="%1."/>
      <w:lvlJc w:val="left"/>
      <w:pPr>
        <w:ind w:left="720" w:hanging="360"/>
      </w:pPr>
    </w:lvl>
    <w:lvl w:ilvl="1" w:tplc="08090001">
      <w:start w:val="1"/>
      <w:numFmt w:val="bullet"/>
      <w:lvlText w:val=""/>
      <w:lvlJc w:val="left"/>
      <w:pPr>
        <w:ind w:left="1080" w:hanging="360"/>
      </w:pPr>
      <w:rPr>
        <w:rFonts w:ascii="Symbol" w:hAnsi="Symbol" w:hint="default"/>
      </w:rPr>
    </w:lvl>
    <w:lvl w:ilvl="2" w:tplc="0809000F">
      <w:start w:val="1"/>
      <w:numFmt w:val="decimal"/>
      <w:lvlText w:val="%3."/>
      <w:lvlJc w:val="lef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7D90C59"/>
    <w:multiLevelType w:val="hybridMultilevel"/>
    <w:tmpl w:val="AD344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347424"/>
    <w:multiLevelType w:val="hybridMultilevel"/>
    <w:tmpl w:val="B29A3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C6B75F9"/>
    <w:multiLevelType w:val="hybridMultilevel"/>
    <w:tmpl w:val="21565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843B25"/>
    <w:multiLevelType w:val="hybridMultilevel"/>
    <w:tmpl w:val="9A7E5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DC26368"/>
    <w:multiLevelType w:val="hybridMultilevel"/>
    <w:tmpl w:val="B7C6A0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09A5A50"/>
    <w:multiLevelType w:val="hybridMultilevel"/>
    <w:tmpl w:val="CCDA6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39D7A5A"/>
    <w:multiLevelType w:val="hybridMultilevel"/>
    <w:tmpl w:val="48C2B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5671C20"/>
    <w:multiLevelType w:val="multilevel"/>
    <w:tmpl w:val="0809001D"/>
    <w:styleLink w:val="te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sz w:val="24"/>
      </w:rPr>
    </w:lvl>
    <w:lvl w:ilvl="2">
      <w:start w:val="1"/>
      <w:numFmt w:val="bullet"/>
      <w:lvlText w:val=""/>
      <w:lvlJc w:val="left"/>
      <w:pPr>
        <w:ind w:left="1080" w:hanging="360"/>
      </w:pPr>
      <w:rPr>
        <w:rFonts w:ascii="Symbol" w:hAnsi="Symbol"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569B4044"/>
    <w:multiLevelType w:val="hybridMultilevel"/>
    <w:tmpl w:val="7690E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6E67F9F"/>
    <w:multiLevelType w:val="hybridMultilevel"/>
    <w:tmpl w:val="769EFE32"/>
    <w:lvl w:ilvl="0" w:tplc="C09CD2A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7297C2C"/>
    <w:multiLevelType w:val="hybridMultilevel"/>
    <w:tmpl w:val="2B4C91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5A7D2887"/>
    <w:multiLevelType w:val="hybridMultilevel"/>
    <w:tmpl w:val="E20C9490"/>
    <w:lvl w:ilvl="0" w:tplc="D0980BC6">
      <w:start w:val="1"/>
      <w:numFmt w:val="bullet"/>
      <w:lvlText w:val=""/>
      <w:lvlJc w:val="left"/>
      <w:pPr>
        <w:ind w:left="720" w:hanging="360"/>
      </w:pPr>
      <w:rPr>
        <w:rFonts w:ascii="Symbol" w:hAnsi="Symbol"/>
      </w:rPr>
    </w:lvl>
    <w:lvl w:ilvl="1" w:tplc="0FF81DBE">
      <w:start w:val="1"/>
      <w:numFmt w:val="bullet"/>
      <w:lvlText w:val=""/>
      <w:lvlJc w:val="left"/>
      <w:pPr>
        <w:ind w:left="720" w:hanging="360"/>
      </w:pPr>
      <w:rPr>
        <w:rFonts w:ascii="Symbol" w:hAnsi="Symbol"/>
      </w:rPr>
    </w:lvl>
    <w:lvl w:ilvl="2" w:tplc="6A722664">
      <w:start w:val="1"/>
      <w:numFmt w:val="bullet"/>
      <w:lvlText w:val=""/>
      <w:lvlJc w:val="left"/>
      <w:pPr>
        <w:ind w:left="720" w:hanging="360"/>
      </w:pPr>
      <w:rPr>
        <w:rFonts w:ascii="Symbol" w:hAnsi="Symbol"/>
      </w:rPr>
    </w:lvl>
    <w:lvl w:ilvl="3" w:tplc="384289CC">
      <w:start w:val="1"/>
      <w:numFmt w:val="bullet"/>
      <w:lvlText w:val=""/>
      <w:lvlJc w:val="left"/>
      <w:pPr>
        <w:ind w:left="720" w:hanging="360"/>
      </w:pPr>
      <w:rPr>
        <w:rFonts w:ascii="Symbol" w:hAnsi="Symbol"/>
      </w:rPr>
    </w:lvl>
    <w:lvl w:ilvl="4" w:tplc="E2E03CB0">
      <w:start w:val="1"/>
      <w:numFmt w:val="bullet"/>
      <w:lvlText w:val=""/>
      <w:lvlJc w:val="left"/>
      <w:pPr>
        <w:ind w:left="720" w:hanging="360"/>
      </w:pPr>
      <w:rPr>
        <w:rFonts w:ascii="Symbol" w:hAnsi="Symbol"/>
      </w:rPr>
    </w:lvl>
    <w:lvl w:ilvl="5" w:tplc="9D4A8896">
      <w:start w:val="1"/>
      <w:numFmt w:val="bullet"/>
      <w:lvlText w:val=""/>
      <w:lvlJc w:val="left"/>
      <w:pPr>
        <w:ind w:left="720" w:hanging="360"/>
      </w:pPr>
      <w:rPr>
        <w:rFonts w:ascii="Symbol" w:hAnsi="Symbol"/>
      </w:rPr>
    </w:lvl>
    <w:lvl w:ilvl="6" w:tplc="674E86CA">
      <w:start w:val="1"/>
      <w:numFmt w:val="bullet"/>
      <w:lvlText w:val=""/>
      <w:lvlJc w:val="left"/>
      <w:pPr>
        <w:ind w:left="720" w:hanging="360"/>
      </w:pPr>
      <w:rPr>
        <w:rFonts w:ascii="Symbol" w:hAnsi="Symbol"/>
      </w:rPr>
    </w:lvl>
    <w:lvl w:ilvl="7" w:tplc="8A20962A">
      <w:start w:val="1"/>
      <w:numFmt w:val="bullet"/>
      <w:lvlText w:val=""/>
      <w:lvlJc w:val="left"/>
      <w:pPr>
        <w:ind w:left="720" w:hanging="360"/>
      </w:pPr>
      <w:rPr>
        <w:rFonts w:ascii="Symbol" w:hAnsi="Symbol"/>
      </w:rPr>
    </w:lvl>
    <w:lvl w:ilvl="8" w:tplc="709EF80A">
      <w:start w:val="1"/>
      <w:numFmt w:val="bullet"/>
      <w:lvlText w:val=""/>
      <w:lvlJc w:val="left"/>
      <w:pPr>
        <w:ind w:left="720" w:hanging="360"/>
      </w:pPr>
      <w:rPr>
        <w:rFonts w:ascii="Symbol" w:hAnsi="Symbol"/>
      </w:rPr>
    </w:lvl>
  </w:abstractNum>
  <w:abstractNum w:abstractNumId="45" w15:restartNumberingAfterBreak="0">
    <w:nsid w:val="5D7F4931"/>
    <w:multiLevelType w:val="hybridMultilevel"/>
    <w:tmpl w:val="70501C86"/>
    <w:lvl w:ilvl="0" w:tplc="8514C27A">
      <w:start w:val="1"/>
      <w:numFmt w:val="decimal"/>
      <w:lvlText w:val="%1."/>
      <w:lvlJc w:val="left"/>
      <w:pPr>
        <w:ind w:left="720" w:hanging="360"/>
      </w:pPr>
    </w:lvl>
    <w:lvl w:ilvl="1" w:tplc="4A10A1D6">
      <w:start w:val="1"/>
      <w:numFmt w:val="lowerLetter"/>
      <w:lvlText w:val="%2."/>
      <w:lvlJc w:val="left"/>
      <w:pPr>
        <w:ind w:left="1440" w:hanging="360"/>
      </w:pPr>
    </w:lvl>
    <w:lvl w:ilvl="2" w:tplc="26F023EC">
      <w:start w:val="1"/>
      <w:numFmt w:val="lowerRoman"/>
      <w:lvlText w:val="%3."/>
      <w:lvlJc w:val="right"/>
      <w:pPr>
        <w:ind w:left="2160" w:hanging="180"/>
      </w:pPr>
    </w:lvl>
    <w:lvl w:ilvl="3" w:tplc="95C06B8E">
      <w:start w:val="1"/>
      <w:numFmt w:val="decimal"/>
      <w:lvlText w:val="%4."/>
      <w:lvlJc w:val="left"/>
      <w:pPr>
        <w:ind w:left="2880" w:hanging="360"/>
      </w:pPr>
    </w:lvl>
    <w:lvl w:ilvl="4" w:tplc="A198D174">
      <w:start w:val="1"/>
      <w:numFmt w:val="lowerLetter"/>
      <w:lvlText w:val="%5."/>
      <w:lvlJc w:val="left"/>
      <w:pPr>
        <w:ind w:left="3600" w:hanging="360"/>
      </w:pPr>
    </w:lvl>
    <w:lvl w:ilvl="5" w:tplc="0B6C699A">
      <w:start w:val="1"/>
      <w:numFmt w:val="lowerRoman"/>
      <w:lvlText w:val="%6."/>
      <w:lvlJc w:val="right"/>
      <w:pPr>
        <w:ind w:left="4320" w:hanging="180"/>
      </w:pPr>
    </w:lvl>
    <w:lvl w:ilvl="6" w:tplc="A0E4EDEA">
      <w:start w:val="1"/>
      <w:numFmt w:val="decimal"/>
      <w:lvlText w:val="%7."/>
      <w:lvlJc w:val="left"/>
      <w:pPr>
        <w:ind w:left="5040" w:hanging="360"/>
      </w:pPr>
    </w:lvl>
    <w:lvl w:ilvl="7" w:tplc="BB180546">
      <w:start w:val="1"/>
      <w:numFmt w:val="lowerLetter"/>
      <w:lvlText w:val="%8."/>
      <w:lvlJc w:val="left"/>
      <w:pPr>
        <w:ind w:left="5760" w:hanging="360"/>
      </w:pPr>
    </w:lvl>
    <w:lvl w:ilvl="8" w:tplc="B96E3174">
      <w:start w:val="1"/>
      <w:numFmt w:val="lowerRoman"/>
      <w:lvlText w:val="%9."/>
      <w:lvlJc w:val="right"/>
      <w:pPr>
        <w:ind w:left="6480" w:hanging="180"/>
      </w:pPr>
    </w:lvl>
  </w:abstractNum>
  <w:abstractNum w:abstractNumId="46" w15:restartNumberingAfterBreak="0">
    <w:nsid w:val="642D59C3"/>
    <w:multiLevelType w:val="hybridMultilevel"/>
    <w:tmpl w:val="B134A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5DF65DE"/>
    <w:multiLevelType w:val="hybridMultilevel"/>
    <w:tmpl w:val="88466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B060155"/>
    <w:multiLevelType w:val="hybridMultilevel"/>
    <w:tmpl w:val="7AC07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B9C05EB"/>
    <w:multiLevelType w:val="multilevel"/>
    <w:tmpl w:val="FE549CAA"/>
    <w:numStyleLink w:val="BulletList"/>
  </w:abstractNum>
  <w:abstractNum w:abstractNumId="50" w15:restartNumberingAfterBreak="0">
    <w:nsid w:val="6E3654EB"/>
    <w:multiLevelType w:val="hybridMultilevel"/>
    <w:tmpl w:val="ED544C3A"/>
    <w:lvl w:ilvl="0" w:tplc="B80A06A4">
      <w:start w:val="1"/>
      <w:numFmt w:val="bullet"/>
      <w:lvlText w:val=""/>
      <w:lvlJc w:val="left"/>
      <w:pPr>
        <w:ind w:left="720" w:hanging="360"/>
      </w:pPr>
      <w:rPr>
        <w:rFonts w:ascii="Symbol" w:hAnsi="Symbol"/>
      </w:rPr>
    </w:lvl>
    <w:lvl w:ilvl="1" w:tplc="24620B40">
      <w:start w:val="1"/>
      <w:numFmt w:val="bullet"/>
      <w:lvlText w:val=""/>
      <w:lvlJc w:val="left"/>
      <w:pPr>
        <w:ind w:left="720" w:hanging="360"/>
      </w:pPr>
      <w:rPr>
        <w:rFonts w:ascii="Symbol" w:hAnsi="Symbol"/>
      </w:rPr>
    </w:lvl>
    <w:lvl w:ilvl="2" w:tplc="E51E5418">
      <w:start w:val="1"/>
      <w:numFmt w:val="bullet"/>
      <w:lvlText w:val=""/>
      <w:lvlJc w:val="left"/>
      <w:pPr>
        <w:ind w:left="720" w:hanging="360"/>
      </w:pPr>
      <w:rPr>
        <w:rFonts w:ascii="Symbol" w:hAnsi="Symbol"/>
      </w:rPr>
    </w:lvl>
    <w:lvl w:ilvl="3" w:tplc="6E2292E8">
      <w:start w:val="1"/>
      <w:numFmt w:val="bullet"/>
      <w:lvlText w:val=""/>
      <w:lvlJc w:val="left"/>
      <w:pPr>
        <w:ind w:left="720" w:hanging="360"/>
      </w:pPr>
      <w:rPr>
        <w:rFonts w:ascii="Symbol" w:hAnsi="Symbol"/>
      </w:rPr>
    </w:lvl>
    <w:lvl w:ilvl="4" w:tplc="52809138">
      <w:start w:val="1"/>
      <w:numFmt w:val="bullet"/>
      <w:lvlText w:val=""/>
      <w:lvlJc w:val="left"/>
      <w:pPr>
        <w:ind w:left="720" w:hanging="360"/>
      </w:pPr>
      <w:rPr>
        <w:rFonts w:ascii="Symbol" w:hAnsi="Symbol"/>
      </w:rPr>
    </w:lvl>
    <w:lvl w:ilvl="5" w:tplc="A0FC6530">
      <w:start w:val="1"/>
      <w:numFmt w:val="bullet"/>
      <w:lvlText w:val=""/>
      <w:lvlJc w:val="left"/>
      <w:pPr>
        <w:ind w:left="720" w:hanging="360"/>
      </w:pPr>
      <w:rPr>
        <w:rFonts w:ascii="Symbol" w:hAnsi="Symbol"/>
      </w:rPr>
    </w:lvl>
    <w:lvl w:ilvl="6" w:tplc="67A6AC54">
      <w:start w:val="1"/>
      <w:numFmt w:val="bullet"/>
      <w:lvlText w:val=""/>
      <w:lvlJc w:val="left"/>
      <w:pPr>
        <w:ind w:left="720" w:hanging="360"/>
      </w:pPr>
      <w:rPr>
        <w:rFonts w:ascii="Symbol" w:hAnsi="Symbol"/>
      </w:rPr>
    </w:lvl>
    <w:lvl w:ilvl="7" w:tplc="7FC0624E">
      <w:start w:val="1"/>
      <w:numFmt w:val="bullet"/>
      <w:lvlText w:val=""/>
      <w:lvlJc w:val="left"/>
      <w:pPr>
        <w:ind w:left="720" w:hanging="360"/>
      </w:pPr>
      <w:rPr>
        <w:rFonts w:ascii="Symbol" w:hAnsi="Symbol"/>
      </w:rPr>
    </w:lvl>
    <w:lvl w:ilvl="8" w:tplc="CCE05872">
      <w:start w:val="1"/>
      <w:numFmt w:val="bullet"/>
      <w:lvlText w:val=""/>
      <w:lvlJc w:val="left"/>
      <w:pPr>
        <w:ind w:left="720" w:hanging="360"/>
      </w:pPr>
      <w:rPr>
        <w:rFonts w:ascii="Symbol" w:hAnsi="Symbol"/>
      </w:rPr>
    </w:lvl>
  </w:abstractNum>
  <w:abstractNum w:abstractNumId="51" w15:restartNumberingAfterBreak="0">
    <w:nsid w:val="6E6F6170"/>
    <w:multiLevelType w:val="hybridMultilevel"/>
    <w:tmpl w:val="3B50D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FE32A7F"/>
    <w:multiLevelType w:val="hybridMultilevel"/>
    <w:tmpl w:val="F10A9966"/>
    <w:lvl w:ilvl="0" w:tplc="712AE8E2">
      <w:start w:val="1"/>
      <w:numFmt w:val="bullet"/>
      <w:lvlText w:val=""/>
      <w:lvlJc w:val="left"/>
      <w:pPr>
        <w:ind w:left="720" w:hanging="360"/>
      </w:pPr>
      <w:rPr>
        <w:rFonts w:ascii="Symbol" w:hAnsi="Symbol"/>
      </w:rPr>
    </w:lvl>
    <w:lvl w:ilvl="1" w:tplc="D71CEC00">
      <w:start w:val="1"/>
      <w:numFmt w:val="bullet"/>
      <w:lvlText w:val=""/>
      <w:lvlJc w:val="left"/>
      <w:pPr>
        <w:ind w:left="720" w:hanging="360"/>
      </w:pPr>
      <w:rPr>
        <w:rFonts w:ascii="Symbol" w:hAnsi="Symbol"/>
      </w:rPr>
    </w:lvl>
    <w:lvl w:ilvl="2" w:tplc="7098FDE4">
      <w:start w:val="1"/>
      <w:numFmt w:val="bullet"/>
      <w:lvlText w:val=""/>
      <w:lvlJc w:val="left"/>
      <w:pPr>
        <w:ind w:left="720" w:hanging="360"/>
      </w:pPr>
      <w:rPr>
        <w:rFonts w:ascii="Symbol" w:hAnsi="Symbol"/>
      </w:rPr>
    </w:lvl>
    <w:lvl w:ilvl="3" w:tplc="E05242DA">
      <w:start w:val="1"/>
      <w:numFmt w:val="bullet"/>
      <w:lvlText w:val=""/>
      <w:lvlJc w:val="left"/>
      <w:pPr>
        <w:ind w:left="720" w:hanging="360"/>
      </w:pPr>
      <w:rPr>
        <w:rFonts w:ascii="Symbol" w:hAnsi="Symbol"/>
      </w:rPr>
    </w:lvl>
    <w:lvl w:ilvl="4" w:tplc="1CA43F5C">
      <w:start w:val="1"/>
      <w:numFmt w:val="bullet"/>
      <w:lvlText w:val=""/>
      <w:lvlJc w:val="left"/>
      <w:pPr>
        <w:ind w:left="720" w:hanging="360"/>
      </w:pPr>
      <w:rPr>
        <w:rFonts w:ascii="Symbol" w:hAnsi="Symbol"/>
      </w:rPr>
    </w:lvl>
    <w:lvl w:ilvl="5" w:tplc="40EC0D90">
      <w:start w:val="1"/>
      <w:numFmt w:val="bullet"/>
      <w:lvlText w:val=""/>
      <w:lvlJc w:val="left"/>
      <w:pPr>
        <w:ind w:left="720" w:hanging="360"/>
      </w:pPr>
      <w:rPr>
        <w:rFonts w:ascii="Symbol" w:hAnsi="Symbol"/>
      </w:rPr>
    </w:lvl>
    <w:lvl w:ilvl="6" w:tplc="9F3EB558">
      <w:start w:val="1"/>
      <w:numFmt w:val="bullet"/>
      <w:lvlText w:val=""/>
      <w:lvlJc w:val="left"/>
      <w:pPr>
        <w:ind w:left="720" w:hanging="360"/>
      </w:pPr>
      <w:rPr>
        <w:rFonts w:ascii="Symbol" w:hAnsi="Symbol"/>
      </w:rPr>
    </w:lvl>
    <w:lvl w:ilvl="7" w:tplc="7856F064">
      <w:start w:val="1"/>
      <w:numFmt w:val="bullet"/>
      <w:lvlText w:val=""/>
      <w:lvlJc w:val="left"/>
      <w:pPr>
        <w:ind w:left="720" w:hanging="360"/>
      </w:pPr>
      <w:rPr>
        <w:rFonts w:ascii="Symbol" w:hAnsi="Symbol"/>
      </w:rPr>
    </w:lvl>
    <w:lvl w:ilvl="8" w:tplc="B9FA40C2">
      <w:start w:val="1"/>
      <w:numFmt w:val="bullet"/>
      <w:lvlText w:val=""/>
      <w:lvlJc w:val="left"/>
      <w:pPr>
        <w:ind w:left="720" w:hanging="360"/>
      </w:pPr>
      <w:rPr>
        <w:rFonts w:ascii="Symbol" w:hAnsi="Symbol"/>
      </w:rPr>
    </w:lvl>
  </w:abstractNum>
  <w:abstractNum w:abstractNumId="53" w15:restartNumberingAfterBreak="0">
    <w:nsid w:val="709C5653"/>
    <w:multiLevelType w:val="hybridMultilevel"/>
    <w:tmpl w:val="EACA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1C44AE5"/>
    <w:multiLevelType w:val="hybridMultilevel"/>
    <w:tmpl w:val="D3F85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2F20C6B"/>
    <w:multiLevelType w:val="hybridMultilevel"/>
    <w:tmpl w:val="5316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7B11508"/>
    <w:multiLevelType w:val="singleLevel"/>
    <w:tmpl w:val="038A2752"/>
    <w:lvl w:ilvl="0">
      <w:start w:val="1"/>
      <w:numFmt w:val="lowerRoman"/>
      <w:lvlText w:val="%1)"/>
      <w:lvlJc w:val="left"/>
      <w:pPr>
        <w:tabs>
          <w:tab w:val="num" w:pos="1429"/>
        </w:tabs>
        <w:ind w:left="1429" w:hanging="720"/>
      </w:pPr>
      <w:rPr>
        <w:rFonts w:cs="Times New Roman" w:hint="default"/>
      </w:rPr>
    </w:lvl>
  </w:abstractNum>
  <w:abstractNum w:abstractNumId="57" w15:restartNumberingAfterBreak="0">
    <w:nsid w:val="7CFD5C0B"/>
    <w:multiLevelType w:val="hybridMultilevel"/>
    <w:tmpl w:val="C57CA6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7DC30038"/>
    <w:multiLevelType w:val="hybridMultilevel"/>
    <w:tmpl w:val="CC788E14"/>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25877560">
    <w:abstractNumId w:val="17"/>
  </w:num>
  <w:num w:numId="2" w16cid:durableId="1075394776">
    <w:abstractNumId w:val="24"/>
  </w:num>
  <w:num w:numId="3" w16cid:durableId="1189485851">
    <w:abstractNumId w:val="49"/>
  </w:num>
  <w:num w:numId="4" w16cid:durableId="1910379054">
    <w:abstractNumId w:val="9"/>
  </w:num>
  <w:num w:numId="5" w16cid:durableId="1478258929">
    <w:abstractNumId w:val="7"/>
  </w:num>
  <w:num w:numId="6" w16cid:durableId="1884053130">
    <w:abstractNumId w:val="6"/>
  </w:num>
  <w:num w:numId="7" w16cid:durableId="545531023">
    <w:abstractNumId w:val="5"/>
  </w:num>
  <w:num w:numId="8" w16cid:durableId="1514805749">
    <w:abstractNumId w:val="4"/>
  </w:num>
  <w:num w:numId="9" w16cid:durableId="1609308321">
    <w:abstractNumId w:val="8"/>
  </w:num>
  <w:num w:numId="10" w16cid:durableId="499154913">
    <w:abstractNumId w:val="3"/>
  </w:num>
  <w:num w:numId="11" w16cid:durableId="825777145">
    <w:abstractNumId w:val="2"/>
  </w:num>
  <w:num w:numId="12" w16cid:durableId="1835604713">
    <w:abstractNumId w:val="1"/>
  </w:num>
  <w:num w:numId="13" w16cid:durableId="1263953070">
    <w:abstractNumId w:val="0"/>
  </w:num>
  <w:num w:numId="14" w16cid:durableId="526868028">
    <w:abstractNumId w:val="40"/>
  </w:num>
  <w:num w:numId="15" w16cid:durableId="969241419">
    <w:abstractNumId w:val="28"/>
  </w:num>
  <w:num w:numId="16" w16cid:durableId="485634147">
    <w:abstractNumId w:val="13"/>
  </w:num>
  <w:num w:numId="17" w16cid:durableId="85094870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3851988">
    <w:abstractNumId w:val="43"/>
  </w:num>
  <w:num w:numId="19" w16cid:durableId="1888371211">
    <w:abstractNumId w:val="55"/>
  </w:num>
  <w:num w:numId="20" w16cid:durableId="583494762">
    <w:abstractNumId w:val="54"/>
  </w:num>
  <w:num w:numId="21" w16cid:durableId="16395616">
    <w:abstractNumId w:val="10"/>
  </w:num>
  <w:num w:numId="22" w16cid:durableId="325136633">
    <w:abstractNumId w:val="48"/>
  </w:num>
  <w:num w:numId="23" w16cid:durableId="1141968004">
    <w:abstractNumId w:val="38"/>
  </w:num>
  <w:num w:numId="24" w16cid:durableId="1652754653">
    <w:abstractNumId w:val="34"/>
  </w:num>
  <w:num w:numId="25" w16cid:durableId="429934990">
    <w:abstractNumId w:val="20"/>
  </w:num>
  <w:num w:numId="26" w16cid:durableId="1744989393">
    <w:abstractNumId w:val="47"/>
  </w:num>
  <w:num w:numId="27" w16cid:durableId="1728987678">
    <w:abstractNumId w:val="35"/>
  </w:num>
  <w:num w:numId="28" w16cid:durableId="802698896">
    <w:abstractNumId w:val="57"/>
  </w:num>
  <w:num w:numId="29" w16cid:durableId="1114401920">
    <w:abstractNumId w:val="32"/>
  </w:num>
  <w:num w:numId="30" w16cid:durableId="1338775342">
    <w:abstractNumId w:val="12"/>
  </w:num>
  <w:num w:numId="31" w16cid:durableId="591400175">
    <w:abstractNumId w:val="41"/>
  </w:num>
  <w:num w:numId="32" w16cid:durableId="1137139701">
    <w:abstractNumId w:val="18"/>
  </w:num>
  <w:num w:numId="33" w16cid:durableId="45296661">
    <w:abstractNumId w:val="11"/>
  </w:num>
  <w:num w:numId="34" w16cid:durableId="2104763357">
    <w:abstractNumId w:val="21"/>
  </w:num>
  <w:num w:numId="35" w16cid:durableId="980891133">
    <w:abstractNumId w:val="42"/>
  </w:num>
  <w:num w:numId="36" w16cid:durableId="431557804">
    <w:abstractNumId w:val="58"/>
  </w:num>
  <w:num w:numId="37" w16cid:durableId="1169759860">
    <w:abstractNumId w:val="53"/>
  </w:num>
  <w:num w:numId="38" w16cid:durableId="988751880">
    <w:abstractNumId w:val="46"/>
  </w:num>
  <w:num w:numId="39" w16cid:durableId="392117306">
    <w:abstractNumId w:val="37"/>
  </w:num>
  <w:num w:numId="40" w16cid:durableId="210774631">
    <w:abstractNumId w:val="51"/>
  </w:num>
  <w:num w:numId="41" w16cid:durableId="305009464">
    <w:abstractNumId w:val="14"/>
  </w:num>
  <w:num w:numId="42" w16cid:durableId="1689679961">
    <w:abstractNumId w:val="45"/>
  </w:num>
  <w:num w:numId="43" w16cid:durableId="1272476139">
    <w:abstractNumId w:val="31"/>
  </w:num>
  <w:num w:numId="44" w16cid:durableId="484858947">
    <w:abstractNumId w:val="25"/>
  </w:num>
  <w:num w:numId="45" w16cid:durableId="487408549">
    <w:abstractNumId w:val="27"/>
  </w:num>
  <w:num w:numId="46" w16cid:durableId="1511024851">
    <w:abstractNumId w:val="56"/>
  </w:num>
  <w:num w:numId="47" w16cid:durableId="862785208">
    <w:abstractNumId w:val="19"/>
  </w:num>
  <w:num w:numId="48" w16cid:durableId="1479112667">
    <w:abstractNumId w:val="36"/>
  </w:num>
  <w:num w:numId="49" w16cid:durableId="1109085732">
    <w:abstractNumId w:val="50"/>
  </w:num>
  <w:num w:numId="50" w16cid:durableId="1452164213">
    <w:abstractNumId w:val="52"/>
  </w:num>
  <w:num w:numId="51" w16cid:durableId="2029064546">
    <w:abstractNumId w:val="29"/>
  </w:num>
  <w:num w:numId="52" w16cid:durableId="1379938143">
    <w:abstractNumId w:val="16"/>
  </w:num>
  <w:num w:numId="53" w16cid:durableId="445199523">
    <w:abstractNumId w:val="44"/>
  </w:num>
  <w:num w:numId="54" w16cid:durableId="523516956">
    <w:abstractNumId w:val="15"/>
  </w:num>
  <w:num w:numId="55" w16cid:durableId="488251013">
    <w:abstractNumId w:val="15"/>
  </w:num>
  <w:num w:numId="56" w16cid:durableId="1493179271">
    <w:abstractNumId w:val="30"/>
  </w:num>
  <w:num w:numId="57" w16cid:durableId="661008233">
    <w:abstractNumId w:val="23"/>
  </w:num>
  <w:num w:numId="58" w16cid:durableId="572352120">
    <w:abstractNumId w:val="39"/>
  </w:num>
  <w:num w:numId="59" w16cid:durableId="1238176906">
    <w:abstractNumId w:val="26"/>
  </w:num>
  <w:num w:numId="60" w16cid:durableId="895357193">
    <w:abstractNumId w:val="33"/>
  </w:num>
  <w:num w:numId="61" w16cid:durableId="112284157">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9D"/>
    <w:rsid w:val="000007EC"/>
    <w:rsid w:val="000216C5"/>
    <w:rsid w:val="0003232F"/>
    <w:rsid w:val="00033B85"/>
    <w:rsid w:val="00037AD3"/>
    <w:rsid w:val="000430A9"/>
    <w:rsid w:val="000433CE"/>
    <w:rsid w:val="0005097A"/>
    <w:rsid w:val="000535DD"/>
    <w:rsid w:val="00053875"/>
    <w:rsid w:val="000549FB"/>
    <w:rsid w:val="0005669F"/>
    <w:rsid w:val="00060A6E"/>
    <w:rsid w:val="00061DB6"/>
    <w:rsid w:val="0006332E"/>
    <w:rsid w:val="00075505"/>
    <w:rsid w:val="0008758A"/>
    <w:rsid w:val="00087ECE"/>
    <w:rsid w:val="00094D34"/>
    <w:rsid w:val="000A5123"/>
    <w:rsid w:val="000A7C1E"/>
    <w:rsid w:val="000B1C70"/>
    <w:rsid w:val="000B3706"/>
    <w:rsid w:val="000C3594"/>
    <w:rsid w:val="000C5274"/>
    <w:rsid w:val="000E12DF"/>
    <w:rsid w:val="000F479B"/>
    <w:rsid w:val="00104375"/>
    <w:rsid w:val="001048F1"/>
    <w:rsid w:val="00111A08"/>
    <w:rsid w:val="00111A99"/>
    <w:rsid w:val="00112616"/>
    <w:rsid w:val="001268DB"/>
    <w:rsid w:val="00132ABA"/>
    <w:rsid w:val="001364BC"/>
    <w:rsid w:val="001376FE"/>
    <w:rsid w:val="0014627F"/>
    <w:rsid w:val="00153C24"/>
    <w:rsid w:val="00155BAF"/>
    <w:rsid w:val="00163C20"/>
    <w:rsid w:val="00170BF7"/>
    <w:rsid w:val="00173F0E"/>
    <w:rsid w:val="00173FC3"/>
    <w:rsid w:val="00175A58"/>
    <w:rsid w:val="00177D55"/>
    <w:rsid w:val="001860F5"/>
    <w:rsid w:val="001A0E4B"/>
    <w:rsid w:val="001B36F3"/>
    <w:rsid w:val="001B50DB"/>
    <w:rsid w:val="001B6512"/>
    <w:rsid w:val="001C105B"/>
    <w:rsid w:val="001C2473"/>
    <w:rsid w:val="001D2770"/>
    <w:rsid w:val="001D6CB6"/>
    <w:rsid w:val="001E2A71"/>
    <w:rsid w:val="001E357D"/>
    <w:rsid w:val="001E51C7"/>
    <w:rsid w:val="001F34AE"/>
    <w:rsid w:val="001F39A3"/>
    <w:rsid w:val="001F4CE4"/>
    <w:rsid w:val="002000C8"/>
    <w:rsid w:val="0020107C"/>
    <w:rsid w:val="00214207"/>
    <w:rsid w:val="00221CAD"/>
    <w:rsid w:val="00222945"/>
    <w:rsid w:val="0022637E"/>
    <w:rsid w:val="00230AFF"/>
    <w:rsid w:val="00233261"/>
    <w:rsid w:val="002341BF"/>
    <w:rsid w:val="00245A6E"/>
    <w:rsid w:val="00254FBD"/>
    <w:rsid w:val="00265F33"/>
    <w:rsid w:val="002704C8"/>
    <w:rsid w:val="00274A41"/>
    <w:rsid w:val="00280398"/>
    <w:rsid w:val="0028125B"/>
    <w:rsid w:val="0028444E"/>
    <w:rsid w:val="002844E8"/>
    <w:rsid w:val="00292513"/>
    <w:rsid w:val="002933A7"/>
    <w:rsid w:val="0029660F"/>
    <w:rsid w:val="002A2939"/>
    <w:rsid w:val="002A47DE"/>
    <w:rsid w:val="002A79C8"/>
    <w:rsid w:val="002B1B34"/>
    <w:rsid w:val="002B20FC"/>
    <w:rsid w:val="002C02C0"/>
    <w:rsid w:val="002C6451"/>
    <w:rsid w:val="002C71EE"/>
    <w:rsid w:val="002D04AE"/>
    <w:rsid w:val="002D4729"/>
    <w:rsid w:val="002D4FF1"/>
    <w:rsid w:val="002E5CFE"/>
    <w:rsid w:val="00300A7E"/>
    <w:rsid w:val="00305EE1"/>
    <w:rsid w:val="003063A4"/>
    <w:rsid w:val="0031122E"/>
    <w:rsid w:val="00312154"/>
    <w:rsid w:val="00320C11"/>
    <w:rsid w:val="003240C8"/>
    <w:rsid w:val="0032719E"/>
    <w:rsid w:val="003332D4"/>
    <w:rsid w:val="00333A98"/>
    <w:rsid w:val="00341DAF"/>
    <w:rsid w:val="003429C4"/>
    <w:rsid w:val="0034452A"/>
    <w:rsid w:val="003506FC"/>
    <w:rsid w:val="00357384"/>
    <w:rsid w:val="00357C35"/>
    <w:rsid w:val="00360965"/>
    <w:rsid w:val="00366E55"/>
    <w:rsid w:val="00367E38"/>
    <w:rsid w:val="00370348"/>
    <w:rsid w:val="00380E51"/>
    <w:rsid w:val="00385308"/>
    <w:rsid w:val="00391F24"/>
    <w:rsid w:val="00393FF1"/>
    <w:rsid w:val="00395B35"/>
    <w:rsid w:val="00396382"/>
    <w:rsid w:val="003A11BD"/>
    <w:rsid w:val="003A3B79"/>
    <w:rsid w:val="003A556F"/>
    <w:rsid w:val="003B4F44"/>
    <w:rsid w:val="003B523A"/>
    <w:rsid w:val="003C02F5"/>
    <w:rsid w:val="003C0404"/>
    <w:rsid w:val="003C6D79"/>
    <w:rsid w:val="003C6F01"/>
    <w:rsid w:val="003E14E9"/>
    <w:rsid w:val="003E4481"/>
    <w:rsid w:val="003E6B34"/>
    <w:rsid w:val="003F2091"/>
    <w:rsid w:val="003F4913"/>
    <w:rsid w:val="003F6D3D"/>
    <w:rsid w:val="00405942"/>
    <w:rsid w:val="004071EB"/>
    <w:rsid w:val="00410865"/>
    <w:rsid w:val="004159E9"/>
    <w:rsid w:val="00417ADF"/>
    <w:rsid w:val="00422E63"/>
    <w:rsid w:val="00431764"/>
    <w:rsid w:val="0043236C"/>
    <w:rsid w:val="00434AD4"/>
    <w:rsid w:val="00435CCC"/>
    <w:rsid w:val="0043701F"/>
    <w:rsid w:val="004376D9"/>
    <w:rsid w:val="00443CF2"/>
    <w:rsid w:val="00445C86"/>
    <w:rsid w:val="00451B29"/>
    <w:rsid w:val="00475001"/>
    <w:rsid w:val="00481455"/>
    <w:rsid w:val="00482D4E"/>
    <w:rsid w:val="00486F5E"/>
    <w:rsid w:val="00496594"/>
    <w:rsid w:val="004B1D5C"/>
    <w:rsid w:val="004B4120"/>
    <w:rsid w:val="004B4405"/>
    <w:rsid w:val="004C2206"/>
    <w:rsid w:val="004C2C9A"/>
    <w:rsid w:val="004D34DD"/>
    <w:rsid w:val="004E6F56"/>
    <w:rsid w:val="004F19F9"/>
    <w:rsid w:val="0050702A"/>
    <w:rsid w:val="00510F37"/>
    <w:rsid w:val="005110BE"/>
    <w:rsid w:val="00514962"/>
    <w:rsid w:val="005156B7"/>
    <w:rsid w:val="005214B5"/>
    <w:rsid w:val="00524981"/>
    <w:rsid w:val="00525217"/>
    <w:rsid w:val="00527932"/>
    <w:rsid w:val="00527CBD"/>
    <w:rsid w:val="00531524"/>
    <w:rsid w:val="00537EED"/>
    <w:rsid w:val="00541101"/>
    <w:rsid w:val="00554AAE"/>
    <w:rsid w:val="00561421"/>
    <w:rsid w:val="005620B6"/>
    <w:rsid w:val="00564209"/>
    <w:rsid w:val="00564FB3"/>
    <w:rsid w:val="0057532E"/>
    <w:rsid w:val="00576B2F"/>
    <w:rsid w:val="00577249"/>
    <w:rsid w:val="00582316"/>
    <w:rsid w:val="005848B2"/>
    <w:rsid w:val="00585609"/>
    <w:rsid w:val="005963F9"/>
    <w:rsid w:val="00596F84"/>
    <w:rsid w:val="005B69C5"/>
    <w:rsid w:val="005C18CE"/>
    <w:rsid w:val="005D0D60"/>
    <w:rsid w:val="005D2769"/>
    <w:rsid w:val="005E3744"/>
    <w:rsid w:val="005E6893"/>
    <w:rsid w:val="005F02DF"/>
    <w:rsid w:val="005F2A51"/>
    <w:rsid w:val="005F2B16"/>
    <w:rsid w:val="005F367D"/>
    <w:rsid w:val="00606955"/>
    <w:rsid w:val="006137DF"/>
    <w:rsid w:val="006154E7"/>
    <w:rsid w:val="006162E2"/>
    <w:rsid w:val="006245C1"/>
    <w:rsid w:val="006352AE"/>
    <w:rsid w:val="00650552"/>
    <w:rsid w:val="00661A82"/>
    <w:rsid w:val="00661D32"/>
    <w:rsid w:val="00661FF7"/>
    <w:rsid w:val="006650C7"/>
    <w:rsid w:val="00670C4B"/>
    <w:rsid w:val="00674731"/>
    <w:rsid w:val="0068298C"/>
    <w:rsid w:val="00682E6A"/>
    <w:rsid w:val="00687DE9"/>
    <w:rsid w:val="00690BF7"/>
    <w:rsid w:val="00691938"/>
    <w:rsid w:val="006A7BC1"/>
    <w:rsid w:val="006B5073"/>
    <w:rsid w:val="006C0E86"/>
    <w:rsid w:val="006C1416"/>
    <w:rsid w:val="006C29ED"/>
    <w:rsid w:val="006C5F90"/>
    <w:rsid w:val="006C714F"/>
    <w:rsid w:val="006E09FB"/>
    <w:rsid w:val="006F6B10"/>
    <w:rsid w:val="00711000"/>
    <w:rsid w:val="00713B3A"/>
    <w:rsid w:val="00720307"/>
    <w:rsid w:val="007204F2"/>
    <w:rsid w:val="0074354E"/>
    <w:rsid w:val="00751621"/>
    <w:rsid w:val="0075543E"/>
    <w:rsid w:val="00757986"/>
    <w:rsid w:val="00781FA8"/>
    <w:rsid w:val="007861A0"/>
    <w:rsid w:val="00786667"/>
    <w:rsid w:val="007A3748"/>
    <w:rsid w:val="007B7A28"/>
    <w:rsid w:val="007C0845"/>
    <w:rsid w:val="007C238E"/>
    <w:rsid w:val="007D06C4"/>
    <w:rsid w:val="007E6694"/>
    <w:rsid w:val="007E7E8A"/>
    <w:rsid w:val="007F51D8"/>
    <w:rsid w:val="007F7A20"/>
    <w:rsid w:val="008001F6"/>
    <w:rsid w:val="00802397"/>
    <w:rsid w:val="00804DD6"/>
    <w:rsid w:val="00810FA0"/>
    <w:rsid w:val="008112EF"/>
    <w:rsid w:val="0081463E"/>
    <w:rsid w:val="008253E7"/>
    <w:rsid w:val="0082798D"/>
    <w:rsid w:val="008519A3"/>
    <w:rsid w:val="00854C1A"/>
    <w:rsid w:val="00861B50"/>
    <w:rsid w:val="00862223"/>
    <w:rsid w:val="00866655"/>
    <w:rsid w:val="0086716B"/>
    <w:rsid w:val="0087776D"/>
    <w:rsid w:val="00882CCA"/>
    <w:rsid w:val="00884D22"/>
    <w:rsid w:val="008A15E5"/>
    <w:rsid w:val="008A3473"/>
    <w:rsid w:val="008B1F74"/>
    <w:rsid w:val="008B3348"/>
    <w:rsid w:val="008B4A95"/>
    <w:rsid w:val="008C22CC"/>
    <w:rsid w:val="008C494B"/>
    <w:rsid w:val="008C7A66"/>
    <w:rsid w:val="008D40A9"/>
    <w:rsid w:val="008E06B9"/>
    <w:rsid w:val="008E2925"/>
    <w:rsid w:val="008E429D"/>
    <w:rsid w:val="008E6DCC"/>
    <w:rsid w:val="008F0C64"/>
    <w:rsid w:val="008F0CC4"/>
    <w:rsid w:val="008F3497"/>
    <w:rsid w:val="008F7B1F"/>
    <w:rsid w:val="008F7C9C"/>
    <w:rsid w:val="009022C3"/>
    <w:rsid w:val="00905B29"/>
    <w:rsid w:val="00916506"/>
    <w:rsid w:val="00921874"/>
    <w:rsid w:val="00924046"/>
    <w:rsid w:val="00936D56"/>
    <w:rsid w:val="00950E2B"/>
    <w:rsid w:val="0095148C"/>
    <w:rsid w:val="009548A5"/>
    <w:rsid w:val="00955644"/>
    <w:rsid w:val="009559E7"/>
    <w:rsid w:val="009778F9"/>
    <w:rsid w:val="009962D0"/>
    <w:rsid w:val="009A3F5C"/>
    <w:rsid w:val="009A6265"/>
    <w:rsid w:val="009B42FA"/>
    <w:rsid w:val="009B5021"/>
    <w:rsid w:val="009C2E42"/>
    <w:rsid w:val="009C7587"/>
    <w:rsid w:val="009E30CF"/>
    <w:rsid w:val="009E6D58"/>
    <w:rsid w:val="009E70B9"/>
    <w:rsid w:val="009F3541"/>
    <w:rsid w:val="009F5DF6"/>
    <w:rsid w:val="00A01EC7"/>
    <w:rsid w:val="00A114B0"/>
    <w:rsid w:val="00A12C32"/>
    <w:rsid w:val="00A24E7D"/>
    <w:rsid w:val="00A25C13"/>
    <w:rsid w:val="00A272C9"/>
    <w:rsid w:val="00A36123"/>
    <w:rsid w:val="00A56201"/>
    <w:rsid w:val="00A57CA4"/>
    <w:rsid w:val="00A6174E"/>
    <w:rsid w:val="00A61D15"/>
    <w:rsid w:val="00A66EDF"/>
    <w:rsid w:val="00A817BB"/>
    <w:rsid w:val="00A87195"/>
    <w:rsid w:val="00A92F1F"/>
    <w:rsid w:val="00A94E75"/>
    <w:rsid w:val="00A95AD1"/>
    <w:rsid w:val="00A95F56"/>
    <w:rsid w:val="00AA1F93"/>
    <w:rsid w:val="00AA6D23"/>
    <w:rsid w:val="00AB1B31"/>
    <w:rsid w:val="00AB328E"/>
    <w:rsid w:val="00AB4016"/>
    <w:rsid w:val="00AB4493"/>
    <w:rsid w:val="00AB6456"/>
    <w:rsid w:val="00AB7522"/>
    <w:rsid w:val="00AC0CE8"/>
    <w:rsid w:val="00AC786F"/>
    <w:rsid w:val="00AD0230"/>
    <w:rsid w:val="00AD3016"/>
    <w:rsid w:val="00AD5356"/>
    <w:rsid w:val="00AD5913"/>
    <w:rsid w:val="00AD72E9"/>
    <w:rsid w:val="00AE306A"/>
    <w:rsid w:val="00AE47FC"/>
    <w:rsid w:val="00AE7059"/>
    <w:rsid w:val="00AF47E9"/>
    <w:rsid w:val="00AF7B4C"/>
    <w:rsid w:val="00B1099A"/>
    <w:rsid w:val="00B15B52"/>
    <w:rsid w:val="00B27F13"/>
    <w:rsid w:val="00B3285D"/>
    <w:rsid w:val="00B365C2"/>
    <w:rsid w:val="00B4093C"/>
    <w:rsid w:val="00B53DB2"/>
    <w:rsid w:val="00B55D56"/>
    <w:rsid w:val="00B5601F"/>
    <w:rsid w:val="00B65C89"/>
    <w:rsid w:val="00B97762"/>
    <w:rsid w:val="00BA2CE3"/>
    <w:rsid w:val="00BA6E03"/>
    <w:rsid w:val="00BB0F5D"/>
    <w:rsid w:val="00BB76A9"/>
    <w:rsid w:val="00BC1919"/>
    <w:rsid w:val="00BC3C89"/>
    <w:rsid w:val="00BC5989"/>
    <w:rsid w:val="00BC6A02"/>
    <w:rsid w:val="00BD0297"/>
    <w:rsid w:val="00BD1850"/>
    <w:rsid w:val="00BD3235"/>
    <w:rsid w:val="00BD5808"/>
    <w:rsid w:val="00BE121F"/>
    <w:rsid w:val="00C01BA7"/>
    <w:rsid w:val="00C106FC"/>
    <w:rsid w:val="00C12DAA"/>
    <w:rsid w:val="00C15E3D"/>
    <w:rsid w:val="00C21773"/>
    <w:rsid w:val="00C22181"/>
    <w:rsid w:val="00C23367"/>
    <w:rsid w:val="00C27180"/>
    <w:rsid w:val="00C30281"/>
    <w:rsid w:val="00C328A8"/>
    <w:rsid w:val="00C4129D"/>
    <w:rsid w:val="00C43E9C"/>
    <w:rsid w:val="00C45C26"/>
    <w:rsid w:val="00C51869"/>
    <w:rsid w:val="00C51EA0"/>
    <w:rsid w:val="00C54D62"/>
    <w:rsid w:val="00C6274E"/>
    <w:rsid w:val="00C64C10"/>
    <w:rsid w:val="00C7781A"/>
    <w:rsid w:val="00C77A8E"/>
    <w:rsid w:val="00C77FF1"/>
    <w:rsid w:val="00C84863"/>
    <w:rsid w:val="00C878D5"/>
    <w:rsid w:val="00C9191B"/>
    <w:rsid w:val="00CA35CB"/>
    <w:rsid w:val="00CA3F4B"/>
    <w:rsid w:val="00CA3FC2"/>
    <w:rsid w:val="00CD3D8F"/>
    <w:rsid w:val="00CE6C3F"/>
    <w:rsid w:val="00CE761C"/>
    <w:rsid w:val="00CF370A"/>
    <w:rsid w:val="00CF4BB3"/>
    <w:rsid w:val="00D010CD"/>
    <w:rsid w:val="00D044AE"/>
    <w:rsid w:val="00D250E0"/>
    <w:rsid w:val="00D4013E"/>
    <w:rsid w:val="00D478D4"/>
    <w:rsid w:val="00D5052D"/>
    <w:rsid w:val="00D54885"/>
    <w:rsid w:val="00D60623"/>
    <w:rsid w:val="00D62E58"/>
    <w:rsid w:val="00D70787"/>
    <w:rsid w:val="00D736CC"/>
    <w:rsid w:val="00D800CC"/>
    <w:rsid w:val="00D81B98"/>
    <w:rsid w:val="00D87173"/>
    <w:rsid w:val="00D93A59"/>
    <w:rsid w:val="00DA342F"/>
    <w:rsid w:val="00DA5F0D"/>
    <w:rsid w:val="00DA6A08"/>
    <w:rsid w:val="00DC1BFC"/>
    <w:rsid w:val="00DC1DA8"/>
    <w:rsid w:val="00DD162D"/>
    <w:rsid w:val="00DD36EB"/>
    <w:rsid w:val="00DD3B81"/>
    <w:rsid w:val="00DE02FE"/>
    <w:rsid w:val="00DE3BE8"/>
    <w:rsid w:val="00DE4F04"/>
    <w:rsid w:val="00DF38DF"/>
    <w:rsid w:val="00DF5DA2"/>
    <w:rsid w:val="00E01B97"/>
    <w:rsid w:val="00E2478A"/>
    <w:rsid w:val="00E26DF4"/>
    <w:rsid w:val="00E30AF8"/>
    <w:rsid w:val="00E3106E"/>
    <w:rsid w:val="00E328DC"/>
    <w:rsid w:val="00E4468D"/>
    <w:rsid w:val="00E46FCF"/>
    <w:rsid w:val="00E507AD"/>
    <w:rsid w:val="00E513CC"/>
    <w:rsid w:val="00E51807"/>
    <w:rsid w:val="00E7586F"/>
    <w:rsid w:val="00E81246"/>
    <w:rsid w:val="00E81270"/>
    <w:rsid w:val="00E91526"/>
    <w:rsid w:val="00E94F6E"/>
    <w:rsid w:val="00EA34DE"/>
    <w:rsid w:val="00EB01A2"/>
    <w:rsid w:val="00EB3FEB"/>
    <w:rsid w:val="00EB6EC6"/>
    <w:rsid w:val="00EC1684"/>
    <w:rsid w:val="00ED1468"/>
    <w:rsid w:val="00ED1B6C"/>
    <w:rsid w:val="00ED3E71"/>
    <w:rsid w:val="00ED6E67"/>
    <w:rsid w:val="00EE0379"/>
    <w:rsid w:val="00EE45DC"/>
    <w:rsid w:val="00EE4C56"/>
    <w:rsid w:val="00EE6937"/>
    <w:rsid w:val="00EE6C5B"/>
    <w:rsid w:val="00EF2233"/>
    <w:rsid w:val="00EF6450"/>
    <w:rsid w:val="00EF7E22"/>
    <w:rsid w:val="00F0238B"/>
    <w:rsid w:val="00F07974"/>
    <w:rsid w:val="00F07AED"/>
    <w:rsid w:val="00F20F69"/>
    <w:rsid w:val="00F21B38"/>
    <w:rsid w:val="00F238F3"/>
    <w:rsid w:val="00F3237B"/>
    <w:rsid w:val="00F34A53"/>
    <w:rsid w:val="00F47E0C"/>
    <w:rsid w:val="00F520FF"/>
    <w:rsid w:val="00F55458"/>
    <w:rsid w:val="00F55D40"/>
    <w:rsid w:val="00F61789"/>
    <w:rsid w:val="00F63D05"/>
    <w:rsid w:val="00F647D5"/>
    <w:rsid w:val="00F65365"/>
    <w:rsid w:val="00F817BE"/>
    <w:rsid w:val="00F818E3"/>
    <w:rsid w:val="00F90ACC"/>
    <w:rsid w:val="00F9367A"/>
    <w:rsid w:val="00F9602B"/>
    <w:rsid w:val="00FA12D2"/>
    <w:rsid w:val="00FA2058"/>
    <w:rsid w:val="00FA3706"/>
    <w:rsid w:val="00FA41E9"/>
    <w:rsid w:val="00FA446B"/>
    <w:rsid w:val="00FB0A87"/>
    <w:rsid w:val="00FB6201"/>
    <w:rsid w:val="00FC03F9"/>
    <w:rsid w:val="00FD03DC"/>
    <w:rsid w:val="00FE3C4A"/>
    <w:rsid w:val="00FE5875"/>
    <w:rsid w:val="00FF4CD2"/>
    <w:rsid w:val="027A39E9"/>
    <w:rsid w:val="04B960B5"/>
    <w:rsid w:val="0842C307"/>
    <w:rsid w:val="103A9D91"/>
    <w:rsid w:val="1670377B"/>
    <w:rsid w:val="1D0E527C"/>
    <w:rsid w:val="1FEC2A10"/>
    <w:rsid w:val="22B470AF"/>
    <w:rsid w:val="22D53BFC"/>
    <w:rsid w:val="25AEF5FA"/>
    <w:rsid w:val="273AA449"/>
    <w:rsid w:val="2942D880"/>
    <w:rsid w:val="2E7E4960"/>
    <w:rsid w:val="3379607D"/>
    <w:rsid w:val="3C1AD5BA"/>
    <w:rsid w:val="3F81E7D1"/>
    <w:rsid w:val="431AA611"/>
    <w:rsid w:val="435AEF86"/>
    <w:rsid w:val="46ED96C6"/>
    <w:rsid w:val="48896727"/>
    <w:rsid w:val="4BC6A20B"/>
    <w:rsid w:val="4BF57C3C"/>
    <w:rsid w:val="4DE0088D"/>
    <w:rsid w:val="4F4ADC8D"/>
    <w:rsid w:val="50B8AEA7"/>
    <w:rsid w:val="55303D9B"/>
    <w:rsid w:val="5A4348D8"/>
    <w:rsid w:val="5FDCE325"/>
    <w:rsid w:val="63EF8994"/>
    <w:rsid w:val="64493F13"/>
    <w:rsid w:val="663A2458"/>
    <w:rsid w:val="6722E897"/>
    <w:rsid w:val="677C1996"/>
    <w:rsid w:val="6D8B0359"/>
    <w:rsid w:val="704EDB00"/>
    <w:rsid w:val="71187464"/>
    <w:rsid w:val="728C742F"/>
    <w:rsid w:val="78DEDF57"/>
    <w:rsid w:val="795D6DE7"/>
    <w:rsid w:val="7AA62E4D"/>
    <w:rsid w:val="7AA72B52"/>
    <w:rsid w:val="7E2860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69AA3"/>
  <w15:docId w15:val="{44B701A9-39BF-43DA-88F5-06614311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cument text"/>
    <w:qFormat/>
    <w:rsid w:val="00393FF1"/>
    <w:pPr>
      <w:spacing w:after="240" w:line="240" w:lineRule="auto"/>
    </w:pPr>
    <w:rPr>
      <w:rFonts w:ascii="Arial" w:hAnsi="Arial"/>
      <w:color w:val="000000" w:themeColor="text1"/>
      <w:sz w:val="24"/>
    </w:rPr>
  </w:style>
  <w:style w:type="paragraph" w:styleId="Heading1">
    <w:name w:val="heading 1"/>
    <w:basedOn w:val="Normal"/>
    <w:next w:val="Normal"/>
    <w:link w:val="Heading1Char"/>
    <w:uiPriority w:val="9"/>
    <w:qFormat/>
    <w:rsid w:val="00804DD6"/>
    <w:pPr>
      <w:keepNext/>
      <w:keepLines/>
      <w:spacing w:before="480"/>
      <w:outlineLvl w:val="0"/>
    </w:pPr>
    <w:rPr>
      <w:rFonts w:eastAsiaTheme="majorEastAsia" w:cstheme="majorBidi"/>
      <w:b/>
      <w:bCs/>
      <w:color w:val="005EB8"/>
      <w:sz w:val="40"/>
      <w:szCs w:val="28"/>
    </w:rPr>
  </w:style>
  <w:style w:type="paragraph" w:styleId="Heading2">
    <w:name w:val="heading 2"/>
    <w:basedOn w:val="Normal"/>
    <w:next w:val="Normal"/>
    <w:link w:val="Heading2Char"/>
    <w:uiPriority w:val="9"/>
    <w:unhideWhenUsed/>
    <w:qFormat/>
    <w:rsid w:val="008E429D"/>
    <w:pPr>
      <w:keepNext/>
      <w:keepLines/>
      <w:spacing w:before="240"/>
      <w:outlineLvl w:val="1"/>
    </w:pPr>
    <w:rPr>
      <w:rFonts w:eastAsiaTheme="majorEastAsia" w:cstheme="majorBidi"/>
      <w:b/>
      <w:bCs/>
      <w:color w:val="003087"/>
      <w:sz w:val="32"/>
      <w:szCs w:val="26"/>
    </w:rPr>
  </w:style>
  <w:style w:type="paragraph" w:styleId="Heading3">
    <w:name w:val="heading 3"/>
    <w:basedOn w:val="Normal"/>
    <w:next w:val="Normal"/>
    <w:link w:val="Heading3Char"/>
    <w:uiPriority w:val="9"/>
    <w:unhideWhenUsed/>
    <w:qFormat/>
    <w:rsid w:val="008E429D"/>
    <w:pPr>
      <w:keepNext/>
      <w:keepLines/>
      <w:spacing w:before="2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rsid w:val="008E42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93FF1"/>
    <w:pPr>
      <w:keepNext/>
      <w:keepLines/>
      <w:spacing w:before="40" w:after="0"/>
      <w:outlineLvl w:val="4"/>
    </w:pPr>
    <w:rPr>
      <w:rFonts w:eastAsiaTheme="majorEastAsia" w:cstheme="majorBidi"/>
      <w:b/>
      <w:color w:val="00308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DD6"/>
    <w:rPr>
      <w:rFonts w:ascii="Arial" w:eastAsiaTheme="majorEastAsia" w:hAnsi="Arial" w:cstheme="majorBidi"/>
      <w:b/>
      <w:bCs/>
      <w:color w:val="005EB8"/>
      <w:sz w:val="40"/>
      <w:szCs w:val="28"/>
    </w:rPr>
  </w:style>
  <w:style w:type="character" w:customStyle="1" w:styleId="Heading2Char">
    <w:name w:val="Heading 2 Char"/>
    <w:basedOn w:val="DefaultParagraphFont"/>
    <w:link w:val="Heading2"/>
    <w:uiPriority w:val="9"/>
    <w:rsid w:val="008E429D"/>
    <w:rPr>
      <w:rFonts w:ascii="Arial" w:eastAsiaTheme="majorEastAsia" w:hAnsi="Arial" w:cstheme="majorBidi"/>
      <w:b/>
      <w:bCs/>
      <w:color w:val="003087"/>
      <w:sz w:val="32"/>
      <w:szCs w:val="26"/>
    </w:rPr>
  </w:style>
  <w:style w:type="paragraph" w:styleId="Subtitle">
    <w:name w:val="Subtitle"/>
    <w:basedOn w:val="Normal"/>
    <w:next w:val="Normal"/>
    <w:link w:val="SubtitleChar"/>
    <w:uiPriority w:val="11"/>
    <w:rsid w:val="00D478D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D478D4"/>
    <w:rPr>
      <w:rFonts w:ascii="Arial" w:eastAsiaTheme="majorEastAsia" w:hAnsi="Arial" w:cstheme="majorBidi"/>
      <w:b/>
      <w:iCs/>
      <w:sz w:val="24"/>
      <w:szCs w:val="24"/>
    </w:rPr>
  </w:style>
  <w:style w:type="character" w:styleId="SubtleEmphasis">
    <w:name w:val="Subtle Emphasis"/>
    <w:basedOn w:val="DefaultParagraphFont"/>
    <w:uiPriority w:val="19"/>
    <w:rsid w:val="0074354E"/>
    <w:rPr>
      <w:i/>
      <w:iCs/>
      <w:color w:val="808080" w:themeColor="text1" w:themeTint="7F"/>
    </w:rPr>
  </w:style>
  <w:style w:type="paragraph" w:styleId="Header">
    <w:name w:val="header"/>
    <w:basedOn w:val="Normal"/>
    <w:link w:val="HeaderChar"/>
    <w:uiPriority w:val="99"/>
    <w:unhideWhenUsed/>
    <w:rsid w:val="00D478D4"/>
    <w:pPr>
      <w:tabs>
        <w:tab w:val="center" w:pos="4513"/>
        <w:tab w:val="right" w:pos="9026"/>
      </w:tabs>
    </w:pPr>
  </w:style>
  <w:style w:type="character" w:customStyle="1" w:styleId="HeaderChar">
    <w:name w:val="Header Char"/>
    <w:basedOn w:val="DefaultParagraphFont"/>
    <w:link w:val="Header"/>
    <w:uiPriority w:val="99"/>
    <w:rsid w:val="00D478D4"/>
    <w:rPr>
      <w:rFonts w:ascii="Arial" w:hAnsi="Arial"/>
      <w:sz w:val="24"/>
    </w:rPr>
  </w:style>
  <w:style w:type="paragraph" w:styleId="Footer">
    <w:name w:val="footer"/>
    <w:basedOn w:val="Normal"/>
    <w:link w:val="FooterChar"/>
    <w:uiPriority w:val="99"/>
    <w:unhideWhenUsed/>
    <w:rsid w:val="00D478D4"/>
    <w:pPr>
      <w:tabs>
        <w:tab w:val="center" w:pos="4513"/>
        <w:tab w:val="right" w:pos="9026"/>
      </w:tabs>
    </w:pPr>
  </w:style>
  <w:style w:type="character" w:customStyle="1" w:styleId="FooterChar">
    <w:name w:val="Footer Char"/>
    <w:basedOn w:val="DefaultParagraphFont"/>
    <w:link w:val="Footer"/>
    <w:uiPriority w:val="99"/>
    <w:rsid w:val="00D478D4"/>
    <w:rPr>
      <w:rFonts w:ascii="Arial" w:hAnsi="Arial"/>
      <w:sz w:val="24"/>
    </w:rPr>
  </w:style>
  <w:style w:type="paragraph" w:styleId="BalloonText">
    <w:name w:val="Balloon Text"/>
    <w:basedOn w:val="Normal"/>
    <w:link w:val="BalloonTextChar"/>
    <w:uiPriority w:val="99"/>
    <w:semiHidden/>
    <w:unhideWhenUsed/>
    <w:rsid w:val="00D478D4"/>
    <w:rPr>
      <w:rFonts w:ascii="Tahoma" w:hAnsi="Tahoma" w:cs="Tahoma"/>
      <w:sz w:val="16"/>
      <w:szCs w:val="16"/>
    </w:rPr>
  </w:style>
  <w:style w:type="character" w:customStyle="1" w:styleId="BalloonTextChar">
    <w:name w:val="Balloon Text Char"/>
    <w:basedOn w:val="DefaultParagraphFont"/>
    <w:link w:val="BalloonText"/>
    <w:uiPriority w:val="99"/>
    <w:semiHidden/>
    <w:rsid w:val="00D478D4"/>
    <w:rPr>
      <w:rFonts w:ascii="Tahoma" w:hAnsi="Tahoma" w:cs="Tahoma"/>
      <w:sz w:val="16"/>
      <w:szCs w:val="16"/>
    </w:rPr>
  </w:style>
  <w:style w:type="paragraph" w:styleId="NoSpacing">
    <w:name w:val="No Spacing"/>
    <w:link w:val="NoSpacingChar"/>
    <w:uiPriority w:val="1"/>
    <w:rsid w:val="006C714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C714F"/>
    <w:rPr>
      <w:rFonts w:eastAsiaTheme="minorEastAsia"/>
      <w:lang w:val="en-US" w:eastAsia="ja-JP"/>
    </w:rPr>
  </w:style>
  <w:style w:type="character" w:customStyle="1" w:styleId="Heading3Char">
    <w:name w:val="Heading 3 Char"/>
    <w:basedOn w:val="DefaultParagraphFont"/>
    <w:link w:val="Heading3"/>
    <w:uiPriority w:val="9"/>
    <w:rsid w:val="008E429D"/>
    <w:rPr>
      <w:rFonts w:ascii="Arial" w:eastAsiaTheme="majorEastAsia" w:hAnsi="Arial" w:cstheme="majorBidi"/>
      <w:b/>
      <w:color w:val="000000" w:themeColor="text1"/>
      <w:sz w:val="28"/>
      <w:szCs w:val="24"/>
    </w:rPr>
  </w:style>
  <w:style w:type="paragraph" w:styleId="NormalWeb">
    <w:name w:val="Normal (Web)"/>
    <w:basedOn w:val="Normal"/>
    <w:uiPriority w:val="99"/>
    <w:semiHidden/>
    <w:unhideWhenUsed/>
    <w:rsid w:val="00C6274E"/>
    <w:pPr>
      <w:spacing w:before="100" w:beforeAutospacing="1" w:after="100" w:afterAutospacing="1"/>
    </w:pPr>
    <w:rPr>
      <w:rFonts w:ascii="Times New Roman" w:eastAsia="Times New Roman" w:hAnsi="Times New Roman" w:cs="Times New Roman"/>
      <w:color w:val="auto"/>
      <w:szCs w:val="24"/>
      <w:lang w:eastAsia="en-GB"/>
    </w:rPr>
  </w:style>
  <w:style w:type="paragraph" w:styleId="ListParagraph">
    <w:name w:val="List Paragraph"/>
    <w:basedOn w:val="Normal"/>
    <w:uiPriority w:val="34"/>
    <w:qFormat/>
    <w:rsid w:val="00AB4493"/>
    <w:pPr>
      <w:numPr>
        <w:numId w:val="1"/>
      </w:numPr>
      <w:spacing w:after="120"/>
      <w:ind w:left="357" w:hanging="357"/>
    </w:pPr>
  </w:style>
  <w:style w:type="numbering" w:customStyle="1" w:styleId="BulletList">
    <w:name w:val="Bullet List"/>
    <w:basedOn w:val="NoList"/>
    <w:uiPriority w:val="99"/>
    <w:rsid w:val="00E91526"/>
    <w:pPr>
      <w:numPr>
        <w:numId w:val="2"/>
      </w:numPr>
    </w:pPr>
  </w:style>
  <w:style w:type="numbering" w:customStyle="1" w:styleId="test">
    <w:name w:val="test"/>
    <w:basedOn w:val="NoList"/>
    <w:uiPriority w:val="99"/>
    <w:rsid w:val="008F7B1F"/>
    <w:pPr>
      <w:numPr>
        <w:numId w:val="14"/>
      </w:numPr>
    </w:pPr>
  </w:style>
  <w:style w:type="paragraph" w:styleId="ListBullet">
    <w:name w:val="List Bullet"/>
    <w:basedOn w:val="Normal"/>
    <w:uiPriority w:val="99"/>
    <w:unhideWhenUsed/>
    <w:qFormat/>
    <w:rsid w:val="00175A58"/>
    <w:pPr>
      <w:numPr>
        <w:numId w:val="4"/>
      </w:numPr>
      <w:spacing w:after="120"/>
      <w:ind w:left="357" w:hanging="357"/>
    </w:pPr>
  </w:style>
  <w:style w:type="character" w:customStyle="1" w:styleId="Heading4Char">
    <w:name w:val="Heading 4 Char"/>
    <w:basedOn w:val="DefaultParagraphFont"/>
    <w:link w:val="Heading4"/>
    <w:uiPriority w:val="9"/>
    <w:rsid w:val="008E429D"/>
    <w:rPr>
      <w:rFonts w:asciiTheme="majorHAnsi" w:eastAsiaTheme="majorEastAsia" w:hAnsiTheme="majorHAnsi" w:cstheme="majorBidi"/>
      <w:i/>
      <w:iCs/>
      <w:color w:val="365F91" w:themeColor="accent1" w:themeShade="BF"/>
      <w:sz w:val="24"/>
    </w:rPr>
  </w:style>
  <w:style w:type="paragraph" w:customStyle="1" w:styleId="Style1">
    <w:name w:val="Style1"/>
    <w:basedOn w:val="Heading4"/>
    <w:qFormat/>
    <w:rsid w:val="008E429D"/>
    <w:rPr>
      <w:rFonts w:ascii="Arial" w:hAnsi="Arial"/>
      <w:color w:val="365F91"/>
    </w:rPr>
  </w:style>
  <w:style w:type="paragraph" w:styleId="NormalIndent">
    <w:name w:val="Normal Indent"/>
    <w:basedOn w:val="Normal"/>
    <w:uiPriority w:val="99"/>
    <w:unhideWhenUsed/>
    <w:rsid w:val="008E429D"/>
    <w:pPr>
      <w:ind w:left="720"/>
    </w:pPr>
  </w:style>
  <w:style w:type="character" w:customStyle="1" w:styleId="Heading5Char">
    <w:name w:val="Heading 5 Char"/>
    <w:basedOn w:val="DefaultParagraphFont"/>
    <w:link w:val="Heading5"/>
    <w:uiPriority w:val="9"/>
    <w:rsid w:val="00393FF1"/>
    <w:rPr>
      <w:rFonts w:ascii="Arial" w:eastAsiaTheme="majorEastAsia" w:hAnsi="Arial" w:cstheme="majorBidi"/>
      <w:b/>
      <w:color w:val="003087"/>
      <w:sz w:val="24"/>
    </w:rPr>
  </w:style>
  <w:style w:type="paragraph" w:customStyle="1" w:styleId="Style2">
    <w:name w:val="Style2"/>
    <w:basedOn w:val="Heading5"/>
    <w:qFormat/>
    <w:rsid w:val="008E429D"/>
    <w:rPr>
      <w:color w:val="005EB8"/>
    </w:rPr>
  </w:style>
  <w:style w:type="character" w:styleId="Strong">
    <w:name w:val="Strong"/>
    <w:basedOn w:val="DefaultParagraphFont"/>
    <w:uiPriority w:val="22"/>
    <w:rsid w:val="008E429D"/>
    <w:rPr>
      <w:b/>
      <w:bCs/>
    </w:rPr>
  </w:style>
  <w:style w:type="paragraph" w:customStyle="1" w:styleId="legp1paratext">
    <w:name w:val="legp1paratext"/>
    <w:basedOn w:val="Normal"/>
    <w:rsid w:val="001B36F3"/>
    <w:pPr>
      <w:spacing w:before="100" w:beforeAutospacing="1" w:after="100" w:afterAutospacing="1"/>
    </w:pPr>
    <w:rPr>
      <w:rFonts w:ascii="Times New Roman" w:eastAsia="Times New Roman" w:hAnsi="Times New Roman" w:cs="Times New Roman"/>
      <w:color w:val="auto"/>
      <w:szCs w:val="24"/>
      <w:lang w:eastAsia="en-GB"/>
    </w:rPr>
  </w:style>
  <w:style w:type="character" w:customStyle="1" w:styleId="legp1no">
    <w:name w:val="legp1no"/>
    <w:basedOn w:val="DefaultParagraphFont"/>
    <w:rsid w:val="001B36F3"/>
  </w:style>
  <w:style w:type="paragraph" w:customStyle="1" w:styleId="legclearfix">
    <w:name w:val="legclearfix"/>
    <w:basedOn w:val="Normal"/>
    <w:rsid w:val="001B36F3"/>
    <w:pPr>
      <w:spacing w:before="100" w:beforeAutospacing="1" w:after="100" w:afterAutospacing="1"/>
    </w:pPr>
    <w:rPr>
      <w:rFonts w:ascii="Times New Roman" w:eastAsia="Times New Roman" w:hAnsi="Times New Roman" w:cs="Times New Roman"/>
      <w:color w:val="auto"/>
      <w:szCs w:val="24"/>
      <w:lang w:eastAsia="en-GB"/>
    </w:rPr>
  </w:style>
  <w:style w:type="character" w:customStyle="1" w:styleId="legds">
    <w:name w:val="legds"/>
    <w:basedOn w:val="DefaultParagraphFont"/>
    <w:rsid w:val="001B36F3"/>
  </w:style>
  <w:style w:type="character" w:styleId="Hyperlink">
    <w:name w:val="Hyperlink"/>
    <w:basedOn w:val="DefaultParagraphFont"/>
    <w:uiPriority w:val="99"/>
    <w:unhideWhenUsed/>
    <w:rsid w:val="00173FC3"/>
    <w:rPr>
      <w:color w:val="0000FF" w:themeColor="hyperlink"/>
      <w:u w:val="single"/>
    </w:rPr>
  </w:style>
  <w:style w:type="character" w:styleId="UnresolvedMention">
    <w:name w:val="Unresolved Mention"/>
    <w:basedOn w:val="DefaultParagraphFont"/>
    <w:uiPriority w:val="99"/>
    <w:semiHidden/>
    <w:unhideWhenUsed/>
    <w:rsid w:val="00173FC3"/>
    <w:rPr>
      <w:color w:val="605E5C"/>
      <w:shd w:val="clear" w:color="auto" w:fill="E1DFDD"/>
    </w:rPr>
  </w:style>
  <w:style w:type="character" w:styleId="CommentReference">
    <w:name w:val="annotation reference"/>
    <w:basedOn w:val="DefaultParagraphFont"/>
    <w:uiPriority w:val="99"/>
    <w:semiHidden/>
    <w:unhideWhenUsed/>
    <w:rsid w:val="00C45C26"/>
    <w:rPr>
      <w:sz w:val="16"/>
      <w:szCs w:val="16"/>
    </w:rPr>
  </w:style>
  <w:style w:type="paragraph" w:styleId="CommentText">
    <w:name w:val="annotation text"/>
    <w:basedOn w:val="Normal"/>
    <w:link w:val="CommentTextChar"/>
    <w:uiPriority w:val="99"/>
    <w:unhideWhenUsed/>
    <w:rsid w:val="00C45C26"/>
    <w:rPr>
      <w:sz w:val="20"/>
      <w:szCs w:val="20"/>
    </w:rPr>
  </w:style>
  <w:style w:type="character" w:customStyle="1" w:styleId="CommentTextChar">
    <w:name w:val="Comment Text Char"/>
    <w:basedOn w:val="DefaultParagraphFont"/>
    <w:link w:val="CommentText"/>
    <w:uiPriority w:val="99"/>
    <w:rsid w:val="00C45C26"/>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45C26"/>
    <w:rPr>
      <w:b/>
      <w:bCs/>
    </w:rPr>
  </w:style>
  <w:style w:type="character" w:customStyle="1" w:styleId="CommentSubjectChar">
    <w:name w:val="Comment Subject Char"/>
    <w:basedOn w:val="CommentTextChar"/>
    <w:link w:val="CommentSubject"/>
    <w:uiPriority w:val="99"/>
    <w:semiHidden/>
    <w:rsid w:val="00C45C26"/>
    <w:rPr>
      <w:rFonts w:ascii="Arial" w:hAnsi="Arial"/>
      <w:b/>
      <w:bCs/>
      <w:color w:val="000000" w:themeColor="text1"/>
      <w:sz w:val="20"/>
      <w:szCs w:val="20"/>
    </w:rPr>
  </w:style>
  <w:style w:type="table" w:styleId="TableGrid">
    <w:name w:val="Table Grid"/>
    <w:basedOn w:val="TableNormal"/>
    <w:uiPriority w:val="59"/>
    <w:rsid w:val="00814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34AD4"/>
    <w:pPr>
      <w:spacing w:after="0" w:line="240" w:lineRule="auto"/>
    </w:pPr>
    <w:rPr>
      <w:rFonts w:ascii="Arial" w:hAnsi="Arial"/>
      <w:color w:val="000000" w:themeColor="text1"/>
      <w:sz w:val="24"/>
    </w:rPr>
  </w:style>
  <w:style w:type="paragraph" w:customStyle="1" w:styleId="pf0">
    <w:name w:val="pf0"/>
    <w:basedOn w:val="Normal"/>
    <w:rsid w:val="00CD3D8F"/>
    <w:pPr>
      <w:spacing w:before="100" w:beforeAutospacing="1" w:after="100" w:afterAutospacing="1"/>
    </w:pPr>
    <w:rPr>
      <w:rFonts w:ascii="Times New Roman" w:eastAsia="Times New Roman" w:hAnsi="Times New Roman" w:cs="Times New Roman"/>
      <w:color w:val="auto"/>
      <w:szCs w:val="24"/>
      <w:lang w:eastAsia="en-GB"/>
    </w:rPr>
  </w:style>
  <w:style w:type="character" w:customStyle="1" w:styleId="cf01">
    <w:name w:val="cf01"/>
    <w:basedOn w:val="DefaultParagraphFont"/>
    <w:rsid w:val="00CD3D8F"/>
    <w:rPr>
      <w:rFonts w:ascii="Segoe UI" w:hAnsi="Segoe UI" w:cs="Segoe UI" w:hint="default"/>
      <w:sz w:val="18"/>
      <w:szCs w:val="18"/>
    </w:rPr>
  </w:style>
  <w:style w:type="paragraph" w:styleId="Caption">
    <w:name w:val="caption"/>
    <w:basedOn w:val="Normal"/>
    <w:next w:val="Normal"/>
    <w:uiPriority w:val="35"/>
    <w:unhideWhenUsed/>
    <w:qFormat/>
    <w:rsid w:val="00061DB6"/>
    <w:pPr>
      <w:spacing w:after="200"/>
    </w:pPr>
    <w:rPr>
      <w:i/>
      <w:iCs/>
      <w:color w:val="1F497D" w:themeColor="text2"/>
      <w:sz w:val="18"/>
      <w:szCs w:val="18"/>
    </w:rPr>
  </w:style>
  <w:style w:type="character" w:styleId="PlaceholderText">
    <w:name w:val="Placeholder Text"/>
    <w:basedOn w:val="DefaultParagraphFont"/>
    <w:uiPriority w:val="99"/>
    <w:semiHidden/>
    <w:rsid w:val="003063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8212">
      <w:bodyDiv w:val="1"/>
      <w:marLeft w:val="0"/>
      <w:marRight w:val="0"/>
      <w:marTop w:val="0"/>
      <w:marBottom w:val="0"/>
      <w:divBdr>
        <w:top w:val="none" w:sz="0" w:space="0" w:color="auto"/>
        <w:left w:val="none" w:sz="0" w:space="0" w:color="auto"/>
        <w:bottom w:val="none" w:sz="0" w:space="0" w:color="auto"/>
        <w:right w:val="none" w:sz="0" w:space="0" w:color="auto"/>
      </w:divBdr>
    </w:div>
    <w:div w:id="670984199">
      <w:bodyDiv w:val="1"/>
      <w:marLeft w:val="0"/>
      <w:marRight w:val="0"/>
      <w:marTop w:val="0"/>
      <w:marBottom w:val="0"/>
      <w:divBdr>
        <w:top w:val="none" w:sz="0" w:space="0" w:color="auto"/>
        <w:left w:val="none" w:sz="0" w:space="0" w:color="auto"/>
        <w:bottom w:val="none" w:sz="0" w:space="0" w:color="auto"/>
        <w:right w:val="none" w:sz="0" w:space="0" w:color="auto"/>
      </w:divBdr>
    </w:div>
    <w:div w:id="756055725">
      <w:bodyDiv w:val="1"/>
      <w:marLeft w:val="0"/>
      <w:marRight w:val="0"/>
      <w:marTop w:val="0"/>
      <w:marBottom w:val="0"/>
      <w:divBdr>
        <w:top w:val="none" w:sz="0" w:space="0" w:color="auto"/>
        <w:left w:val="none" w:sz="0" w:space="0" w:color="auto"/>
        <w:bottom w:val="none" w:sz="0" w:space="0" w:color="auto"/>
        <w:right w:val="none" w:sz="0" w:space="0" w:color="auto"/>
      </w:divBdr>
    </w:div>
    <w:div w:id="902914276">
      <w:bodyDiv w:val="1"/>
      <w:marLeft w:val="0"/>
      <w:marRight w:val="0"/>
      <w:marTop w:val="0"/>
      <w:marBottom w:val="0"/>
      <w:divBdr>
        <w:top w:val="none" w:sz="0" w:space="0" w:color="auto"/>
        <w:left w:val="none" w:sz="0" w:space="0" w:color="auto"/>
        <w:bottom w:val="none" w:sz="0" w:space="0" w:color="auto"/>
        <w:right w:val="none" w:sz="0" w:space="0" w:color="auto"/>
      </w:divBdr>
    </w:div>
    <w:div w:id="1046105318">
      <w:bodyDiv w:val="1"/>
      <w:marLeft w:val="0"/>
      <w:marRight w:val="0"/>
      <w:marTop w:val="0"/>
      <w:marBottom w:val="0"/>
      <w:divBdr>
        <w:top w:val="none" w:sz="0" w:space="0" w:color="auto"/>
        <w:left w:val="none" w:sz="0" w:space="0" w:color="auto"/>
        <w:bottom w:val="none" w:sz="0" w:space="0" w:color="auto"/>
        <w:right w:val="none" w:sz="0" w:space="0" w:color="auto"/>
      </w:divBdr>
    </w:div>
    <w:div w:id="1188635953">
      <w:bodyDiv w:val="1"/>
      <w:marLeft w:val="0"/>
      <w:marRight w:val="0"/>
      <w:marTop w:val="0"/>
      <w:marBottom w:val="0"/>
      <w:divBdr>
        <w:top w:val="none" w:sz="0" w:space="0" w:color="auto"/>
        <w:left w:val="none" w:sz="0" w:space="0" w:color="auto"/>
        <w:bottom w:val="none" w:sz="0" w:space="0" w:color="auto"/>
        <w:right w:val="none" w:sz="0" w:space="0" w:color="auto"/>
      </w:divBdr>
      <w:divsChild>
        <w:div w:id="576208315">
          <w:marLeft w:val="0"/>
          <w:marRight w:val="0"/>
          <w:marTop w:val="0"/>
          <w:marBottom w:val="0"/>
          <w:divBdr>
            <w:top w:val="none" w:sz="0" w:space="0" w:color="auto"/>
            <w:left w:val="none" w:sz="0" w:space="0" w:color="auto"/>
            <w:bottom w:val="none" w:sz="0" w:space="0" w:color="auto"/>
            <w:right w:val="none" w:sz="0" w:space="0" w:color="auto"/>
          </w:divBdr>
          <w:divsChild>
            <w:div w:id="218441812">
              <w:marLeft w:val="0"/>
              <w:marRight w:val="0"/>
              <w:marTop w:val="0"/>
              <w:marBottom w:val="0"/>
              <w:divBdr>
                <w:top w:val="none" w:sz="0" w:space="0" w:color="auto"/>
                <w:left w:val="none" w:sz="0" w:space="0" w:color="auto"/>
                <w:bottom w:val="none" w:sz="0" w:space="0" w:color="auto"/>
                <w:right w:val="none" w:sz="0" w:space="0" w:color="auto"/>
              </w:divBdr>
              <w:divsChild>
                <w:div w:id="381101376">
                  <w:marLeft w:val="0"/>
                  <w:marRight w:val="0"/>
                  <w:marTop w:val="0"/>
                  <w:marBottom w:val="0"/>
                  <w:divBdr>
                    <w:top w:val="none" w:sz="0" w:space="0" w:color="auto"/>
                    <w:left w:val="none" w:sz="0" w:space="0" w:color="auto"/>
                    <w:bottom w:val="none" w:sz="0" w:space="0" w:color="auto"/>
                    <w:right w:val="none" w:sz="0" w:space="0" w:color="auto"/>
                  </w:divBdr>
                  <w:divsChild>
                    <w:div w:id="66078555">
                      <w:marLeft w:val="0"/>
                      <w:marRight w:val="0"/>
                      <w:marTop w:val="0"/>
                      <w:marBottom w:val="0"/>
                      <w:divBdr>
                        <w:top w:val="none" w:sz="0" w:space="0" w:color="auto"/>
                        <w:left w:val="none" w:sz="0" w:space="0" w:color="auto"/>
                        <w:bottom w:val="none" w:sz="0" w:space="0" w:color="auto"/>
                        <w:right w:val="none" w:sz="0" w:space="0" w:color="auto"/>
                      </w:divBdr>
                      <w:divsChild>
                        <w:div w:id="203911696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planning-and-improving-research/best-practice/public-involve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32678723-8c06-45e1-8bd0-318b9868a43d"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1AA938FE962A45A3E19DCBCF209F91" ma:contentTypeVersion="17" ma:contentTypeDescription="Create a new document." ma:contentTypeScope="" ma:versionID="84ba1e1a4100c01456ffc6ac7e01fffd">
  <xsd:schema xmlns:xsd="http://www.w3.org/2001/XMLSchema" xmlns:xs="http://www.w3.org/2001/XMLSchema" xmlns:p="http://schemas.microsoft.com/office/2006/metadata/properties" xmlns:ns1="http://schemas.microsoft.com/sharepoint/v3" xmlns:ns3="32678723-8c06-45e1-8bd0-318b9868a43d" xmlns:ns4="5789755c-de38-4fe3-9623-40afa3bba1e2" targetNamespace="http://schemas.microsoft.com/office/2006/metadata/properties" ma:root="true" ma:fieldsID="5d9aca57ce850de737920adecbab5699" ns1:_="" ns3:_="" ns4:_="">
    <xsd:import namespace="http://schemas.microsoft.com/sharepoint/v3"/>
    <xsd:import namespace="32678723-8c06-45e1-8bd0-318b9868a43d"/>
    <xsd:import namespace="5789755c-de38-4fe3-9623-40afa3bba1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78723-8c06-45e1-8bd0-318b9868a4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89755c-de38-4fe3-9623-40afa3bba1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05FE0-1D75-4CC1-BA51-A78EE3327066}">
  <ds:schemaRefs>
    <ds:schemaRef ds:uri="http://schemas.microsoft.com/office/2006/metadata/properties"/>
    <ds:schemaRef ds:uri="http://schemas.microsoft.com/office/infopath/2007/PartnerControls"/>
    <ds:schemaRef ds:uri="http://schemas.microsoft.com/sharepoint/v3"/>
    <ds:schemaRef ds:uri="32678723-8c06-45e1-8bd0-318b9868a43d"/>
  </ds:schemaRefs>
</ds:datastoreItem>
</file>

<file path=customXml/itemProps2.xml><?xml version="1.0" encoding="utf-8"?>
<ds:datastoreItem xmlns:ds="http://schemas.openxmlformats.org/officeDocument/2006/customXml" ds:itemID="{82117785-E4DF-4F6F-A8D6-E946DF2FEE57}">
  <ds:schemaRefs>
    <ds:schemaRef ds:uri="http://schemas.microsoft.com/sharepoint/v3/contenttype/forms"/>
  </ds:schemaRefs>
</ds:datastoreItem>
</file>

<file path=customXml/itemProps3.xml><?xml version="1.0" encoding="utf-8"?>
<ds:datastoreItem xmlns:ds="http://schemas.openxmlformats.org/officeDocument/2006/customXml" ds:itemID="{55DDE53A-9B7F-4F5D-BE40-C9C1F9056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678723-8c06-45e1-8bd0-318b9868a43d"/>
    <ds:schemaRef ds:uri="5789755c-de38-4fe3-9623-40afa3bba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BD4101-13C2-457E-83EA-9A6093F85018}">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8</Pages>
  <Words>1699</Words>
  <Characters>9689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Health Research Authority document template</vt:lpstr>
    </vt:vector>
  </TitlesOfParts>
  <Company>IMS3</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Research Authority document template</dc:title>
  <dc:subject>template</dc:subject>
  <dc:creator>Barbuti, Alison</dc:creator>
  <cp:keywords>template</cp:keywords>
  <cp:lastModifiedBy>Narissa Leyland</cp:lastModifiedBy>
  <cp:revision>2</cp:revision>
  <cp:lastPrinted>2023-06-07T11:11:00Z</cp:lastPrinted>
  <dcterms:created xsi:type="dcterms:W3CDTF">2023-07-11T11:52:00Z</dcterms:created>
  <dcterms:modified xsi:type="dcterms:W3CDTF">2023-07-11T11:52:00Z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0x010100831AA938FE962A45A3E19DCBCF209F91</vt:lpwstr>
  </property>
  <property fmtid="{D5CDD505-2E9C-101B-9397-08002B2CF9AE}" pid="3" name="MediaServiceImageTags">
    <vt:lpwstr/>
  </property>
</Properties>
</file>