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0A075FC8" w14:textId="77777777" w:rsidTr="1B3BCEA9">
        <w:tc>
          <w:tcPr>
            <w:tcW w:w="8901" w:type="dxa"/>
          </w:tcPr>
          <w:p w14:paraId="0FCB6C53" w14:textId="7D7C5371" w:rsidR="00A31A7A" w:rsidRPr="00A31A7A" w:rsidRDefault="00A31A7A" w:rsidP="00F553B6">
            <w:pPr>
              <w:pStyle w:val="Subtitle"/>
              <w:spacing w:after="240"/>
            </w:pPr>
          </w:p>
        </w:tc>
      </w:tr>
      <w:tr w:rsidR="00A31A7A" w:rsidRPr="00A31A7A" w14:paraId="01E45312" w14:textId="77777777" w:rsidTr="1B3BCEA9">
        <w:tc>
          <w:tcPr>
            <w:tcW w:w="8901" w:type="dxa"/>
            <w:tcMar>
              <w:bottom w:w="0" w:type="dxa"/>
            </w:tcMar>
          </w:tcPr>
          <w:p w14:paraId="57F234E6" w14:textId="78B8D215" w:rsidR="00A31A7A" w:rsidRPr="00A31A7A" w:rsidRDefault="00334DA2" w:rsidP="00FE28FB">
            <w:pPr>
              <w:pStyle w:val="Title"/>
            </w:pPr>
            <w:r>
              <w:t>Virtual wards enabled by technology</w:t>
            </w:r>
          </w:p>
        </w:tc>
      </w:tr>
      <w:tr w:rsidR="00A31A7A" w:rsidRPr="00A31A7A" w14:paraId="31B4D6E1" w14:textId="77777777" w:rsidTr="1B3BCEA9">
        <w:tc>
          <w:tcPr>
            <w:tcW w:w="8901" w:type="dxa"/>
            <w:tcMar>
              <w:bottom w:w="851" w:type="dxa"/>
            </w:tcMar>
          </w:tcPr>
          <w:p w14:paraId="79C6AFF1" w14:textId="47AF8303" w:rsidR="00A31A7A" w:rsidRPr="00A31A7A" w:rsidRDefault="00334DA2" w:rsidP="1B3BCEA9">
            <w:pPr>
              <w:pStyle w:val="Subtitle"/>
              <w:spacing w:before="120"/>
            </w:pPr>
            <w:r>
              <w:t>Guidance on selecting and procuring a technology platform</w:t>
            </w:r>
          </w:p>
          <w:p w14:paraId="68718999" w14:textId="026D98FD" w:rsidR="00A31A7A" w:rsidRPr="00A31A7A" w:rsidRDefault="00A31A7A" w:rsidP="1B3BCEA9">
            <w:pPr>
              <w:pStyle w:val="Date"/>
            </w:pPr>
          </w:p>
          <w:p w14:paraId="74461173" w14:textId="09B95C96" w:rsidR="00A31A7A" w:rsidRPr="00A31A7A" w:rsidRDefault="00A31A7A" w:rsidP="1B3BCEA9"/>
          <w:p w14:paraId="2F538227" w14:textId="7DEF1905" w:rsidR="00A31A7A" w:rsidRPr="00A31A7A" w:rsidRDefault="005A5621" w:rsidP="1B3BCEA9">
            <w:pPr>
              <w:spacing w:before="120"/>
            </w:pPr>
            <w:r>
              <w:t xml:space="preserve">August </w:t>
            </w:r>
            <w:r w:rsidR="12399F2D">
              <w:t>2023</w:t>
            </w:r>
          </w:p>
        </w:tc>
      </w:tr>
    </w:tbl>
    <w:p w14:paraId="611E0AE4"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5E7DB9A2" w14:textId="77777777" w:rsidTr="000374B0">
        <w:trPr>
          <w:trHeight w:val="642"/>
        </w:trPr>
        <w:sdt>
          <w:sdtPr>
            <w:alias w:val="Protective Marking"/>
            <w:tag w:val="Protective Marking"/>
            <w:id w:val="-1097942897"/>
            <w:placeholder>
              <w:docPart w:val="C71F8761114F42B7B3B466923B4C870E"/>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5894C606" w14:textId="4C5BA014" w:rsidR="00C94874" w:rsidRDefault="00334DA2" w:rsidP="000374B0">
                <w:pPr>
                  <w:pStyle w:val="Classification"/>
                </w:pPr>
                <w:r>
                  <w:t>Classification: Official</w:t>
                </w:r>
              </w:p>
            </w:tc>
          </w:sdtContent>
        </w:sdt>
      </w:tr>
      <w:tr w:rsidR="00C94874" w14:paraId="0358FCDB" w14:textId="77777777" w:rsidTr="000374B0">
        <w:tc>
          <w:tcPr>
            <w:tcW w:w="8901" w:type="dxa"/>
          </w:tcPr>
          <w:p w14:paraId="5B5B9F92" w14:textId="77777777" w:rsidR="00C94874" w:rsidRDefault="00C94874" w:rsidP="000374B0">
            <w:pPr>
              <w:pStyle w:val="Classification"/>
            </w:pPr>
            <w:r>
              <w:t xml:space="preserve">Publication reference: </w:t>
            </w:r>
            <w:r w:rsidR="00334DA2">
              <w:t>PR1383</w:t>
            </w:r>
          </w:p>
          <w:p w14:paraId="39A14D82" w14:textId="77777777" w:rsidR="00F238B5" w:rsidRDefault="00F238B5" w:rsidP="000374B0">
            <w:pPr>
              <w:pStyle w:val="Classification"/>
            </w:pPr>
          </w:p>
          <w:p w14:paraId="18475372" w14:textId="303D8D30" w:rsidR="00F238B5" w:rsidRDefault="00F238B5" w:rsidP="000374B0">
            <w:pPr>
              <w:pStyle w:val="Classification"/>
            </w:pPr>
          </w:p>
        </w:tc>
      </w:tr>
    </w:tbl>
    <w:p w14:paraId="07E91921" w14:textId="77777777" w:rsidR="00C94874" w:rsidRPr="008E6AE9" w:rsidRDefault="00C94874" w:rsidP="008E6AE9"/>
    <w:p w14:paraId="1475C9FA" w14:textId="77777777" w:rsidR="001241F4" w:rsidRDefault="001241F4" w:rsidP="00991A82">
      <w:pPr>
        <w:sectPr w:rsidR="001241F4" w:rsidSect="0021516C">
          <w:headerReference w:type="default" r:id="rId11"/>
          <w:pgSz w:w="11906" w:h="16838" w:code="9"/>
          <w:pgMar w:top="5103" w:right="1928" w:bottom="1134" w:left="1077" w:header="709" w:footer="709" w:gutter="0"/>
          <w:cols w:space="708"/>
          <w:docGrid w:linePitch="360"/>
        </w:sectPr>
      </w:pPr>
    </w:p>
    <w:p w14:paraId="05D23E23" w14:textId="77777777" w:rsidR="001241F4" w:rsidRDefault="00510CDF" w:rsidP="00510CDF">
      <w:pPr>
        <w:pStyle w:val="TOCHeading"/>
      </w:pPr>
      <w:r>
        <w:lastRenderedPageBreak/>
        <w:t>Contents</w:t>
      </w:r>
    </w:p>
    <w:p w14:paraId="3668DD8D" w14:textId="43B864F4" w:rsidR="0027303D" w:rsidRPr="0027303D" w:rsidRDefault="00510CDF">
      <w:pPr>
        <w:pStyle w:val="TOC1"/>
        <w:rPr>
          <w:rFonts w:asciiTheme="minorHAnsi" w:eastAsiaTheme="minorEastAsia" w:hAnsiTheme="minorHAnsi"/>
          <w:noProof/>
          <w:color w:val="auto"/>
          <w:sz w:val="22"/>
          <w:szCs w:val="22"/>
          <w:lang w:eastAsia="en-GB"/>
        </w:rPr>
      </w:pPr>
      <w:r>
        <w:fldChar w:fldCharType="begin"/>
      </w:r>
      <w:r>
        <w:instrText xml:space="preserve"> toc \h \w \t "Heading 1,1,Heading 1 Numbered,1,Heading 2,2,Heading 2 Numbered,2" </w:instrText>
      </w:r>
      <w:r>
        <w:fldChar w:fldCharType="separate"/>
      </w:r>
      <w:hyperlink w:anchor="_Toc125570948" w:history="1">
        <w:r w:rsidR="0027303D" w:rsidRPr="0027303D">
          <w:rPr>
            <w:rStyle w:val="Hyperlink"/>
            <w:noProof/>
          </w:rPr>
          <w:t>Introduction</w:t>
        </w:r>
        <w:r w:rsidR="0027303D" w:rsidRPr="0027303D">
          <w:rPr>
            <w:noProof/>
          </w:rPr>
          <w:tab/>
        </w:r>
        <w:r w:rsidR="0027303D" w:rsidRPr="0027303D">
          <w:rPr>
            <w:noProof/>
          </w:rPr>
          <w:fldChar w:fldCharType="begin"/>
        </w:r>
        <w:r w:rsidR="0027303D" w:rsidRPr="0027303D">
          <w:rPr>
            <w:noProof/>
          </w:rPr>
          <w:instrText xml:space="preserve"> PAGEREF _Toc125570948 \h </w:instrText>
        </w:r>
        <w:r w:rsidR="0027303D" w:rsidRPr="0027303D">
          <w:rPr>
            <w:noProof/>
          </w:rPr>
        </w:r>
        <w:r w:rsidR="0027303D" w:rsidRPr="0027303D">
          <w:rPr>
            <w:noProof/>
          </w:rPr>
          <w:fldChar w:fldCharType="separate"/>
        </w:r>
        <w:r w:rsidR="00DD23FD">
          <w:rPr>
            <w:noProof/>
          </w:rPr>
          <w:t>2</w:t>
        </w:r>
        <w:r w:rsidR="0027303D" w:rsidRPr="0027303D">
          <w:rPr>
            <w:noProof/>
          </w:rPr>
          <w:fldChar w:fldCharType="end"/>
        </w:r>
      </w:hyperlink>
    </w:p>
    <w:p w14:paraId="003C5389" w14:textId="58E52D70" w:rsidR="00BB168B" w:rsidRPr="0027303D" w:rsidRDefault="00DD23FD" w:rsidP="00BB168B">
      <w:pPr>
        <w:pStyle w:val="TOC1"/>
        <w:rPr>
          <w:rFonts w:asciiTheme="minorHAnsi" w:eastAsiaTheme="minorEastAsia" w:hAnsiTheme="minorHAnsi"/>
          <w:noProof/>
          <w:color w:val="auto"/>
          <w:sz w:val="22"/>
          <w:szCs w:val="22"/>
          <w:lang w:eastAsia="en-GB"/>
        </w:rPr>
      </w:pPr>
      <w:hyperlink w:anchor="_Toc125570950" w:history="1">
        <w:r w:rsidR="00BB168B" w:rsidRPr="0027303D">
          <w:rPr>
            <w:rStyle w:val="Hyperlink"/>
            <w:noProof/>
          </w:rPr>
          <w:t>Approach to procurement</w:t>
        </w:r>
        <w:r w:rsidR="00BB168B" w:rsidRPr="0027303D">
          <w:rPr>
            <w:noProof/>
          </w:rPr>
          <w:tab/>
        </w:r>
        <w:r w:rsidR="00BB168B">
          <w:rPr>
            <w:noProof/>
          </w:rPr>
          <w:t>3</w:t>
        </w:r>
      </w:hyperlink>
    </w:p>
    <w:p w14:paraId="7008469B" w14:textId="4AE6152F" w:rsidR="0027303D" w:rsidRPr="0027303D" w:rsidRDefault="00DD23FD">
      <w:pPr>
        <w:pStyle w:val="TOC1"/>
        <w:rPr>
          <w:rFonts w:asciiTheme="minorHAnsi" w:eastAsiaTheme="minorEastAsia" w:hAnsiTheme="minorHAnsi"/>
          <w:noProof/>
          <w:color w:val="auto"/>
          <w:sz w:val="22"/>
          <w:szCs w:val="22"/>
          <w:lang w:eastAsia="en-GB"/>
        </w:rPr>
      </w:pPr>
      <w:hyperlink w:anchor="_Toc125570949" w:history="1">
        <w:r w:rsidR="00BB168B">
          <w:rPr>
            <w:rStyle w:val="Hyperlink"/>
            <w:noProof/>
          </w:rPr>
          <w:t>Selecting</w:t>
        </w:r>
        <w:r w:rsidR="0027303D" w:rsidRPr="0027303D">
          <w:rPr>
            <w:rStyle w:val="Hyperlink"/>
            <w:noProof/>
          </w:rPr>
          <w:t xml:space="preserve"> and procuring a technology platform</w:t>
        </w:r>
        <w:r w:rsidR="0027303D" w:rsidRPr="0027303D">
          <w:rPr>
            <w:noProof/>
          </w:rPr>
          <w:tab/>
        </w:r>
        <w:r w:rsidR="00BB168B">
          <w:rPr>
            <w:noProof/>
          </w:rPr>
          <w:t>5</w:t>
        </w:r>
      </w:hyperlink>
    </w:p>
    <w:p w14:paraId="23DBDDB9" w14:textId="2709008F" w:rsidR="0027303D" w:rsidRPr="0027303D" w:rsidRDefault="00DD23FD">
      <w:pPr>
        <w:pStyle w:val="TOC1"/>
        <w:rPr>
          <w:rFonts w:asciiTheme="minorHAnsi" w:eastAsiaTheme="minorEastAsia" w:hAnsiTheme="minorHAnsi"/>
          <w:noProof/>
          <w:color w:val="auto"/>
          <w:sz w:val="22"/>
          <w:szCs w:val="22"/>
          <w:lang w:eastAsia="en-GB"/>
        </w:rPr>
      </w:pPr>
      <w:hyperlink w:anchor="_Toc125570951" w:history="1">
        <w:r w:rsidR="0027303D" w:rsidRPr="0027303D">
          <w:rPr>
            <w:rStyle w:val="Hyperlink"/>
            <w:noProof/>
          </w:rPr>
          <w:t>Appendix 1: The MoSCoW approach</w:t>
        </w:r>
        <w:r w:rsidR="0027303D" w:rsidRPr="0027303D">
          <w:rPr>
            <w:noProof/>
          </w:rPr>
          <w:tab/>
        </w:r>
        <w:r w:rsidR="00BB168B">
          <w:rPr>
            <w:noProof/>
          </w:rPr>
          <w:t>7</w:t>
        </w:r>
      </w:hyperlink>
    </w:p>
    <w:p w14:paraId="44D5B6CF" w14:textId="18CFA0F3" w:rsidR="0027303D" w:rsidRPr="0027303D" w:rsidRDefault="00DD23FD">
      <w:pPr>
        <w:pStyle w:val="TOC1"/>
        <w:rPr>
          <w:rFonts w:asciiTheme="minorHAnsi" w:eastAsiaTheme="minorEastAsia" w:hAnsiTheme="minorHAnsi"/>
          <w:noProof/>
          <w:color w:val="auto"/>
          <w:sz w:val="22"/>
          <w:szCs w:val="22"/>
          <w:lang w:eastAsia="en-GB"/>
        </w:rPr>
      </w:pPr>
      <w:hyperlink w:anchor="_Toc125570952" w:history="1">
        <w:r w:rsidR="0027303D" w:rsidRPr="0027303D">
          <w:rPr>
            <w:rStyle w:val="Hyperlink"/>
            <w:noProof/>
          </w:rPr>
          <w:t>Appendix 2: Virtual wards guide specification</w:t>
        </w:r>
        <w:r w:rsidR="0027303D" w:rsidRPr="0027303D">
          <w:rPr>
            <w:noProof/>
          </w:rPr>
          <w:tab/>
        </w:r>
        <w:r w:rsidR="00BB168B">
          <w:rPr>
            <w:noProof/>
          </w:rPr>
          <w:t>10</w:t>
        </w:r>
      </w:hyperlink>
    </w:p>
    <w:p w14:paraId="1E4C26DB" w14:textId="0D4C4CD1" w:rsidR="0027303D" w:rsidRDefault="00DD23FD">
      <w:pPr>
        <w:pStyle w:val="TOC1"/>
        <w:rPr>
          <w:rFonts w:asciiTheme="minorHAnsi" w:eastAsiaTheme="minorEastAsia" w:hAnsiTheme="minorHAnsi"/>
          <w:noProof/>
          <w:color w:val="auto"/>
          <w:sz w:val="22"/>
          <w:szCs w:val="22"/>
          <w:lang w:eastAsia="en-GB"/>
        </w:rPr>
      </w:pPr>
      <w:hyperlink w:anchor="_Toc125570968" w:history="1">
        <w:r w:rsidR="0027303D" w:rsidRPr="00E35EFD">
          <w:rPr>
            <w:rStyle w:val="Hyperlink"/>
            <w:noProof/>
          </w:rPr>
          <w:t>Appendix 3: References for further guidance</w:t>
        </w:r>
        <w:r w:rsidR="0027303D">
          <w:rPr>
            <w:noProof/>
          </w:rPr>
          <w:tab/>
        </w:r>
        <w:r w:rsidR="00BB168B">
          <w:rPr>
            <w:noProof/>
          </w:rPr>
          <w:t>11</w:t>
        </w:r>
      </w:hyperlink>
    </w:p>
    <w:p w14:paraId="24F0B1E6" w14:textId="6A7B60D2" w:rsidR="00510CDF" w:rsidRPr="00510CDF" w:rsidRDefault="00510CDF" w:rsidP="00510CDF">
      <w:r>
        <w:fldChar w:fldCharType="end"/>
      </w:r>
    </w:p>
    <w:p w14:paraId="40E5904F" w14:textId="77777777" w:rsidR="00510CDF" w:rsidRDefault="00510CDF" w:rsidP="00991A82"/>
    <w:p w14:paraId="41DDF2AD" w14:textId="77777777" w:rsidR="00510CDF" w:rsidRDefault="00510CDF" w:rsidP="00991A82">
      <w:pPr>
        <w:sectPr w:rsidR="00510CDF" w:rsidSect="007F790E">
          <w:headerReference w:type="default" r:id="rId12"/>
          <w:footerReference w:type="default" r:id="rId13"/>
          <w:pgSz w:w="11906" w:h="16838" w:code="9"/>
          <w:pgMar w:top="1985" w:right="1928" w:bottom="1134" w:left="1077" w:header="624" w:footer="510" w:gutter="0"/>
          <w:pgNumType w:start="1"/>
          <w:cols w:space="708"/>
          <w:docGrid w:linePitch="360"/>
        </w:sectPr>
      </w:pPr>
    </w:p>
    <w:p w14:paraId="7AB3B7BA" w14:textId="0E17BE09" w:rsidR="00F86A73" w:rsidRDefault="00334DA2" w:rsidP="00334DA2">
      <w:pPr>
        <w:pStyle w:val="Heading1"/>
        <w:ind w:right="-455"/>
      </w:pPr>
      <w:bookmarkStart w:id="0" w:name="_Toc125570948"/>
      <w:r>
        <w:lastRenderedPageBreak/>
        <w:t>Introduction</w:t>
      </w:r>
      <w:bookmarkEnd w:id="0"/>
    </w:p>
    <w:p w14:paraId="0F54674E" w14:textId="4CB1C91A" w:rsidR="00C24772" w:rsidRPr="00C24772" w:rsidRDefault="00C24772" w:rsidP="00C24772">
      <w:pPr>
        <w:pStyle w:val="BodyText"/>
        <w:ind w:right="-455"/>
      </w:pPr>
      <w:r>
        <w:t>Integrated Care Systems (</w:t>
      </w:r>
      <w:r w:rsidR="00334DA2" w:rsidRPr="1C2A50A1">
        <w:t>ICSs</w:t>
      </w:r>
      <w:r>
        <w:t>)</w:t>
      </w:r>
      <w:r w:rsidR="00334DA2" w:rsidRPr="1C2A50A1">
        <w:t xml:space="preserve"> have been asked to develop and deliver virtual wards, working towards the </w:t>
      </w:r>
      <w:r w:rsidRPr="00C24772">
        <w:t xml:space="preserve">priorities outlined in the Urgent and Emergency Care (UEC) Recovery Plan (May 2023). Namely, scale up capacity to above 10,000 virtual ward ‘beds’, increase utilisation to 80%, increase the range of conditions treated on virtual wards and reduce the variation in provision. </w:t>
      </w:r>
    </w:p>
    <w:p w14:paraId="775579DD" w14:textId="49D1BFA4" w:rsidR="00334DA2" w:rsidRDefault="00334DA2" w:rsidP="00334DA2">
      <w:pPr>
        <w:pStyle w:val="BodyText"/>
        <w:ind w:right="-455"/>
        <w:rPr>
          <w:rStyle w:val="normaltextrun"/>
          <w:rFonts w:cs="Arial"/>
          <w:bdr w:val="none" w:sz="0" w:space="0" w:color="auto" w:frame="1"/>
        </w:rPr>
      </w:pPr>
      <w:r w:rsidRPr="1C2A50A1">
        <w:t>A virtual ward is a safe and efficient alternative to NHS bedded care that is enabled by technology. Virtual wards support patients who would otherwise be in hospital to receive the acute care, monitoring and treatment they need in the place they call home, including care homes. Th</w:t>
      </w:r>
      <w:r w:rsidR="00CD4010">
        <w:t xml:space="preserve">ey </w:t>
      </w:r>
      <w:r w:rsidR="001C26E1">
        <w:t>can</w:t>
      </w:r>
      <w:r w:rsidRPr="1C2A50A1">
        <w:t xml:space="preserve"> </w:t>
      </w:r>
      <w:r w:rsidR="00974863">
        <w:t xml:space="preserve">both </w:t>
      </w:r>
      <w:r w:rsidRPr="1C2A50A1">
        <w:t xml:space="preserve">prevent avoidable admissions into hospital </w:t>
      </w:r>
      <w:r w:rsidR="00974863">
        <w:t>and</w:t>
      </w:r>
      <w:r w:rsidRPr="1C2A50A1">
        <w:t xml:space="preserve"> support early discharge out of hospital. </w:t>
      </w:r>
      <w:r w:rsidR="000817DC">
        <w:t xml:space="preserve">While </w:t>
      </w:r>
      <w:r w:rsidR="000817DC">
        <w:rPr>
          <w:rStyle w:val="normaltextrun"/>
          <w:rFonts w:cs="Arial"/>
          <w:bdr w:val="none" w:sz="0" w:space="0" w:color="auto" w:frame="1"/>
        </w:rPr>
        <w:t>a</w:t>
      </w:r>
      <w:r w:rsidRPr="0022149F">
        <w:rPr>
          <w:rStyle w:val="normaltextrun"/>
          <w:rFonts w:cs="Arial"/>
          <w:bdr w:val="none" w:sz="0" w:space="0" w:color="auto" w:frame="1"/>
        </w:rPr>
        <w:t xml:space="preserve">ll models of virtual wards, including Hospital at Home, provide clinical support to people in their own homes, </w:t>
      </w:r>
      <w:r w:rsidR="000817DC">
        <w:rPr>
          <w:rStyle w:val="normaltextrun"/>
          <w:rFonts w:cs="Arial"/>
          <w:bdr w:val="none" w:sz="0" w:space="0" w:color="auto" w:frame="1"/>
        </w:rPr>
        <w:t>they</w:t>
      </w:r>
      <w:r w:rsidRPr="0022149F">
        <w:rPr>
          <w:rStyle w:val="normaltextrun"/>
          <w:rFonts w:cs="Arial"/>
          <w:bdr w:val="none" w:sz="0" w:space="0" w:color="auto" w:frame="1"/>
        </w:rPr>
        <w:t xml:space="preserve"> vary in their use of technology in line with patient needs and preferences.</w:t>
      </w:r>
    </w:p>
    <w:p w14:paraId="7B569081" w14:textId="77777777" w:rsidR="00BB168B" w:rsidRPr="00BB168B" w:rsidRDefault="00BB168B" w:rsidP="00BB168B">
      <w:pPr>
        <w:pStyle w:val="BodyText"/>
        <w:spacing w:after="0"/>
        <w:ind w:right="-455"/>
        <w:rPr>
          <w:rStyle w:val="normaltextrun"/>
          <w:rFonts w:cs="Arial"/>
          <w:bdr w:val="none" w:sz="0" w:space="0" w:color="auto" w:frame="1"/>
        </w:rPr>
      </w:pPr>
      <w:r w:rsidRPr="00BB168B">
        <w:rPr>
          <w:rStyle w:val="normaltextrun"/>
          <w:rFonts w:cs="Arial"/>
          <w:bdr w:val="none" w:sz="0" w:space="0" w:color="auto" w:frame="1"/>
        </w:rPr>
        <w:t>A virtual ward enabled by technology consists of (as a minimum):</w:t>
      </w:r>
      <w:r w:rsidRPr="00BB168B">
        <w:rPr>
          <w:rStyle w:val="normaltextrun"/>
          <w:bdr w:val="none" w:sz="0" w:space="0" w:color="auto" w:frame="1"/>
        </w:rPr>
        <w:t> </w:t>
      </w:r>
    </w:p>
    <w:p w14:paraId="42F28D50" w14:textId="77777777" w:rsidR="00BB168B" w:rsidRPr="00BB168B" w:rsidRDefault="00BB168B" w:rsidP="00204A4A">
      <w:pPr>
        <w:pStyle w:val="BodyText"/>
        <w:numPr>
          <w:ilvl w:val="0"/>
          <w:numId w:val="12"/>
        </w:numPr>
        <w:spacing w:after="0"/>
        <w:ind w:right="-455"/>
        <w:rPr>
          <w:rStyle w:val="normaltextrun"/>
          <w:bdr w:val="none" w:sz="0" w:space="0" w:color="auto" w:frame="1"/>
        </w:rPr>
      </w:pPr>
      <w:r w:rsidRPr="00BB168B">
        <w:rPr>
          <w:rStyle w:val="normaltextrun"/>
          <w:rFonts w:cs="Arial"/>
          <w:bdr w:val="none" w:sz="0" w:space="0" w:color="auto" w:frame="1"/>
        </w:rPr>
        <w:t>The ability for patients to measure and input agreed health data for example vital signs into an app or website (this may also be done automatically for example with wearable/Bluetooth technology). </w:t>
      </w:r>
      <w:r w:rsidRPr="00BB168B">
        <w:rPr>
          <w:rStyle w:val="normaltextrun"/>
          <w:bdr w:val="none" w:sz="0" w:space="0" w:color="auto" w:frame="1"/>
        </w:rPr>
        <w:t> </w:t>
      </w:r>
    </w:p>
    <w:p w14:paraId="6E2417FE" w14:textId="77777777" w:rsidR="00BB168B" w:rsidRPr="00BB168B" w:rsidRDefault="00BB168B" w:rsidP="00204A4A">
      <w:pPr>
        <w:pStyle w:val="BodyText"/>
        <w:numPr>
          <w:ilvl w:val="0"/>
          <w:numId w:val="12"/>
        </w:numPr>
        <w:spacing w:after="0"/>
        <w:ind w:right="-455"/>
        <w:rPr>
          <w:rStyle w:val="normaltextrun"/>
          <w:rFonts w:cs="Arial"/>
          <w:bdr w:val="none" w:sz="0" w:space="0" w:color="auto" w:frame="1"/>
        </w:rPr>
      </w:pPr>
      <w:r w:rsidRPr="00BB168B">
        <w:rPr>
          <w:rStyle w:val="normaltextrun"/>
          <w:rFonts w:cs="Arial"/>
          <w:bdr w:val="none" w:sz="0" w:space="0" w:color="auto" w:frame="1"/>
        </w:rPr>
        <w:t>These data feed into a digital platform / dashboard which is reviewed remotely by a clinical team.  </w:t>
      </w:r>
    </w:p>
    <w:p w14:paraId="79B9549F" w14:textId="77777777" w:rsidR="00BB168B" w:rsidRPr="00BB168B" w:rsidRDefault="00BB168B" w:rsidP="00204A4A">
      <w:pPr>
        <w:pStyle w:val="BodyText"/>
        <w:numPr>
          <w:ilvl w:val="0"/>
          <w:numId w:val="12"/>
        </w:numPr>
        <w:spacing w:after="0"/>
        <w:ind w:right="-455"/>
        <w:rPr>
          <w:rStyle w:val="normaltextrun"/>
          <w:rFonts w:cs="Arial"/>
          <w:bdr w:val="none" w:sz="0" w:space="0" w:color="auto" w:frame="1"/>
        </w:rPr>
      </w:pPr>
      <w:r w:rsidRPr="00BB168B">
        <w:rPr>
          <w:rStyle w:val="normaltextrun"/>
          <w:rFonts w:cs="Arial"/>
          <w:bdr w:val="none" w:sz="0" w:space="0" w:color="auto" w:frame="1"/>
        </w:rPr>
        <w:t>The clinical team are alerted when a patient moves outside of agreed parameters so they can take appropriate and timely action. </w:t>
      </w:r>
    </w:p>
    <w:p w14:paraId="3710CBCC" w14:textId="77777777" w:rsidR="00BB168B" w:rsidRDefault="00BB168B" w:rsidP="00BB168B">
      <w:pPr>
        <w:pStyle w:val="BodyText"/>
        <w:spacing w:after="0"/>
        <w:ind w:right="-455"/>
        <w:rPr>
          <w:rStyle w:val="normaltextrun"/>
          <w:rFonts w:cs="Arial"/>
          <w:bdr w:val="none" w:sz="0" w:space="0" w:color="auto" w:frame="1"/>
        </w:rPr>
      </w:pPr>
    </w:p>
    <w:p w14:paraId="63501BFD" w14:textId="3610DD16" w:rsidR="00334DA2" w:rsidRDefault="00BB168B" w:rsidP="00BB168B">
      <w:pPr>
        <w:pStyle w:val="BodyText"/>
        <w:spacing w:after="0"/>
        <w:ind w:right="-455"/>
        <w:rPr>
          <w:rStyle w:val="normaltextrun"/>
          <w:rFonts w:cs="Arial"/>
          <w:bdr w:val="none" w:sz="0" w:space="0" w:color="auto" w:frame="1"/>
        </w:rPr>
      </w:pPr>
      <w:r>
        <w:rPr>
          <w:rStyle w:val="normaltextrun"/>
          <w:rFonts w:cs="Arial"/>
          <w:bdr w:val="none" w:sz="0" w:space="0" w:color="auto" w:frame="1"/>
        </w:rPr>
        <w:t>T</w:t>
      </w:r>
      <w:r w:rsidRPr="00BB168B">
        <w:rPr>
          <w:rStyle w:val="normaltextrun"/>
          <w:rFonts w:cs="Arial"/>
          <w:bdr w:val="none" w:sz="0" w:space="0" w:color="auto" w:frame="1"/>
        </w:rPr>
        <w:t xml:space="preserve">echnology used within a virtual ward may go beyond this definition. </w:t>
      </w:r>
      <w:r w:rsidR="00334DA2" w:rsidRPr="0022149F">
        <w:rPr>
          <w:rStyle w:val="normaltextrun"/>
          <w:rFonts w:cs="Arial"/>
          <w:bdr w:val="none" w:sz="0" w:space="0" w:color="auto" w:frame="1"/>
        </w:rPr>
        <w:t>This guidance supports ICS</w:t>
      </w:r>
      <w:r w:rsidR="00C24772">
        <w:rPr>
          <w:rStyle w:val="normaltextrun"/>
          <w:rFonts w:cs="Arial"/>
          <w:bdr w:val="none" w:sz="0" w:space="0" w:color="auto" w:frame="1"/>
        </w:rPr>
        <w:t xml:space="preserve"> </w:t>
      </w:r>
      <w:r w:rsidR="00334DA2" w:rsidRPr="0022149F">
        <w:rPr>
          <w:rStyle w:val="normaltextrun"/>
          <w:rFonts w:cs="Arial"/>
          <w:bdr w:val="none" w:sz="0" w:space="0" w:color="auto" w:frame="1"/>
        </w:rPr>
        <w:t>leads and provider</w:t>
      </w:r>
      <w:sdt>
        <w:sdtPr>
          <w:rPr>
            <w:rStyle w:val="normaltextrun"/>
            <w:rFonts w:cs="Arial"/>
            <w:bdr w:val="none" w:sz="0" w:space="0" w:color="auto" w:frame="1"/>
          </w:rPr>
          <w:tag w:val="goog_rdk_0"/>
          <w:id w:val="-792518937"/>
          <w:placeholder>
            <w:docPart w:val="9E0AE4ACAE134E2C84448D24FEED2BDB"/>
          </w:placeholder>
        </w:sdtPr>
        <w:sdtEndPr>
          <w:rPr>
            <w:rStyle w:val="normaltextrun"/>
          </w:rPr>
        </w:sdtEndPr>
        <w:sdtContent>
          <w:r w:rsidR="00334DA2" w:rsidRPr="0022149F">
            <w:rPr>
              <w:rStyle w:val="normaltextrun"/>
              <w:rFonts w:cs="Arial"/>
              <w:bdr w:val="none" w:sz="0" w:space="0" w:color="auto" w:frame="1"/>
            </w:rPr>
            <w:t>s</w:t>
          </w:r>
        </w:sdtContent>
      </w:sdt>
      <w:r w:rsidR="00334DA2" w:rsidRPr="0022149F">
        <w:rPr>
          <w:rStyle w:val="normaltextrun"/>
          <w:rFonts w:cs="Arial"/>
          <w:bdr w:val="none" w:sz="0" w:space="0" w:color="auto" w:frame="1"/>
        </w:rPr>
        <w:t xml:space="preserve"> to consider the key requirements when selecting and procuring a technology platform for a virtual ward, and to develop a specification for virtual ward</w:t>
      </w:r>
      <w:r w:rsidR="00E75451">
        <w:rPr>
          <w:rStyle w:val="normaltextrun"/>
          <w:rFonts w:cs="Arial"/>
          <w:bdr w:val="none" w:sz="0" w:space="0" w:color="auto" w:frame="1"/>
        </w:rPr>
        <w:t>s</w:t>
      </w:r>
      <w:r w:rsidR="00816512">
        <w:rPr>
          <w:rStyle w:val="normaltextrun"/>
          <w:rFonts w:cs="Arial"/>
          <w:bdr w:val="none" w:sz="0" w:space="0" w:color="auto" w:frame="1"/>
        </w:rPr>
        <w:t xml:space="preserve">, and will be kept under review and updated </w:t>
      </w:r>
      <w:r w:rsidR="000C4C57">
        <w:rPr>
          <w:rStyle w:val="normaltextrun"/>
          <w:rFonts w:cs="Arial"/>
          <w:bdr w:val="none" w:sz="0" w:space="0" w:color="auto" w:frame="1"/>
        </w:rPr>
        <w:t>as appropriate</w:t>
      </w:r>
      <w:r w:rsidR="00334DA2" w:rsidRPr="0022149F">
        <w:rPr>
          <w:rStyle w:val="normaltextrun"/>
          <w:rFonts w:cs="Arial"/>
          <w:bdr w:val="none" w:sz="0" w:space="0" w:color="auto" w:frame="1"/>
        </w:rPr>
        <w:t xml:space="preserve">. </w:t>
      </w:r>
    </w:p>
    <w:p w14:paraId="5451D044" w14:textId="77777777" w:rsidR="00BB168B" w:rsidRPr="0022149F" w:rsidRDefault="00BB168B" w:rsidP="00BB168B">
      <w:pPr>
        <w:pStyle w:val="BodyText"/>
        <w:spacing w:after="0"/>
        <w:ind w:right="-455"/>
      </w:pPr>
    </w:p>
    <w:p w14:paraId="1B6C9AEB" w14:textId="7A76D30E" w:rsidR="006E526E" w:rsidRPr="0022149F" w:rsidRDefault="00C830A8" w:rsidP="006D7ACC">
      <w:pPr>
        <w:pStyle w:val="BodyText"/>
        <w:spacing w:after="600"/>
        <w:ind w:right="-454"/>
      </w:pPr>
      <w:r>
        <w:t xml:space="preserve">This </w:t>
      </w:r>
      <w:r w:rsidR="0018503B">
        <w:t xml:space="preserve">technical </w:t>
      </w:r>
      <w:r>
        <w:t xml:space="preserve">guidance should be read alongside our </w:t>
      </w:r>
      <w:hyperlink r:id="rId14" w:history="1">
        <w:r w:rsidRPr="00646FC4">
          <w:rPr>
            <w:rStyle w:val="Hyperlink"/>
          </w:rPr>
          <w:t xml:space="preserve">guide to setting up technology-enabled </w:t>
        </w:r>
        <w:r w:rsidR="0018503B" w:rsidRPr="00646FC4">
          <w:rPr>
            <w:rStyle w:val="Hyperlink"/>
          </w:rPr>
          <w:t>virtual wards</w:t>
        </w:r>
      </w:hyperlink>
      <w:r w:rsidR="0018503B">
        <w:t xml:space="preserve"> and </w:t>
      </w:r>
      <w:r w:rsidR="0018503B" w:rsidRPr="0022149F">
        <w:rPr>
          <w:rFonts w:cs="Arial"/>
        </w:rPr>
        <w:t xml:space="preserve">virtual ward </w:t>
      </w:r>
      <w:hyperlink r:id="rId15">
        <w:r w:rsidR="0018503B" w:rsidRPr="0022149F">
          <w:rPr>
            <w:rFonts w:cs="Arial"/>
            <w:color w:val="0563C1"/>
            <w:u w:val="single"/>
          </w:rPr>
          <w:t>supporting info</w:t>
        </w:r>
        <w:r w:rsidR="0018503B" w:rsidRPr="0022149F">
          <w:rPr>
            <w:rFonts w:cs="Arial"/>
            <w:color w:val="0563C1"/>
            <w:u w:val="single"/>
          </w:rPr>
          <w:t>r</w:t>
        </w:r>
        <w:r w:rsidR="0018503B" w:rsidRPr="0022149F">
          <w:rPr>
            <w:rFonts w:cs="Arial"/>
            <w:color w:val="0563C1"/>
            <w:u w:val="single"/>
          </w:rPr>
          <w:t>mation</w:t>
        </w:r>
      </w:hyperlink>
      <w:r w:rsidR="0018503B" w:rsidRPr="0022149F">
        <w:rPr>
          <w:rFonts w:cs="Arial"/>
        </w:rPr>
        <w:t>.</w:t>
      </w:r>
      <w:r w:rsidR="00285307" w:rsidRPr="00285307">
        <w:rPr>
          <w:rStyle w:val="normaltextrun"/>
          <w:rFonts w:cs="Arial"/>
          <w:bdr w:val="none" w:sz="0" w:space="0" w:color="auto" w:frame="1"/>
        </w:rPr>
        <w:t xml:space="preserve"> </w:t>
      </w:r>
      <w:r w:rsidR="00285307">
        <w:rPr>
          <w:rStyle w:val="normaltextrun"/>
          <w:rFonts w:cs="Arial"/>
          <w:bdr w:val="none" w:sz="0" w:space="0" w:color="auto" w:frame="1"/>
        </w:rPr>
        <w:t>The</w:t>
      </w:r>
      <w:r w:rsidR="00285307" w:rsidRPr="0022149F">
        <w:rPr>
          <w:rStyle w:val="normaltextrun"/>
          <w:rFonts w:cs="Arial"/>
          <w:bdr w:val="none" w:sz="0" w:space="0" w:color="auto" w:frame="1"/>
        </w:rPr>
        <w:t xml:space="preserve"> </w:t>
      </w:r>
      <w:hyperlink r:id="rId16" w:history="1">
        <w:r w:rsidR="00285307" w:rsidRPr="00C24772">
          <w:rPr>
            <w:rStyle w:val="Hyperlink"/>
            <w:rFonts w:cs="Arial"/>
            <w:bdr w:val="none" w:sz="0" w:space="0" w:color="auto" w:frame="1"/>
          </w:rPr>
          <w:t>example</w:t>
        </w:r>
        <w:r w:rsidR="00285307" w:rsidRPr="00C24772">
          <w:rPr>
            <w:rStyle w:val="Hyperlink"/>
          </w:rPr>
          <w:t xml:space="preserve"> specification</w:t>
        </w:r>
      </w:hyperlink>
      <w:r w:rsidR="00285307" w:rsidRPr="0022149F">
        <w:t xml:space="preserve"> </w:t>
      </w:r>
      <w:r w:rsidR="006E526E">
        <w:t>referenced in</w:t>
      </w:r>
      <w:r w:rsidR="00285307">
        <w:t xml:space="preserve"> Appendix 2 </w:t>
      </w:r>
      <w:r w:rsidR="00285307" w:rsidRPr="0022149F">
        <w:t xml:space="preserve">can be </w:t>
      </w:r>
      <w:r w:rsidR="006E526E">
        <w:t xml:space="preserve">accessed </w:t>
      </w:r>
      <w:r w:rsidR="006D7ACC">
        <w:t>on</w:t>
      </w:r>
      <w:r w:rsidR="006E526E">
        <w:t xml:space="preserve"> the FutureNHS platform</w:t>
      </w:r>
      <w:r w:rsidR="006D7ACC">
        <w:t xml:space="preserve">, via the Innovation Collaborative workspace, and may be </w:t>
      </w:r>
      <w:r w:rsidR="00285307" w:rsidRPr="0022149F">
        <w:t>tailored to meet local needs.</w:t>
      </w:r>
    </w:p>
    <w:p w14:paraId="284C2E54" w14:textId="77777777" w:rsidR="00334DA2" w:rsidRPr="002B4950" w:rsidRDefault="00334DA2" w:rsidP="00334DA2">
      <w:pPr>
        <w:pStyle w:val="Heading1"/>
      </w:pPr>
      <w:bookmarkStart w:id="1" w:name="_Toc124936831"/>
      <w:bookmarkStart w:id="2" w:name="_Toc125570950"/>
      <w:bookmarkStart w:id="3" w:name="_Toc188156398"/>
      <w:r w:rsidRPr="002B4950">
        <w:lastRenderedPageBreak/>
        <w:t>Approach to procurement</w:t>
      </w:r>
      <w:bookmarkEnd w:id="1"/>
      <w:bookmarkEnd w:id="2"/>
      <w:r w:rsidRPr="002B4950">
        <w:t xml:space="preserve"> </w:t>
      </w:r>
      <w:bookmarkEnd w:id="3"/>
    </w:p>
    <w:p w14:paraId="0D9A27B5" w14:textId="77777777" w:rsidR="00334DA2" w:rsidRPr="0022149F" w:rsidRDefault="00334DA2" w:rsidP="00334DA2">
      <w:pPr>
        <w:pStyle w:val="Heading3"/>
      </w:pPr>
      <w:bookmarkStart w:id="4" w:name="_Toc1769306822"/>
      <w:bookmarkStart w:id="5" w:name="_Toc124936832"/>
      <w:r w:rsidRPr="1C2A50A1">
        <w:t>Overview</w:t>
      </w:r>
      <w:bookmarkEnd w:id="4"/>
      <w:bookmarkEnd w:id="5"/>
    </w:p>
    <w:p w14:paraId="78624FA2" w14:textId="330F1460" w:rsidR="00866D32" w:rsidRPr="00E27AD7" w:rsidRDefault="00334DA2" w:rsidP="00E27AD7">
      <w:pPr>
        <w:pStyle w:val="BodyText"/>
        <w:ind w:right="-455"/>
      </w:pPr>
      <w:r w:rsidRPr="00E27AD7">
        <w:t>Once a</w:t>
      </w:r>
      <w:r w:rsidR="002E57CF">
        <w:t xml:space="preserve"> clinical pathway has been agreed, y</w:t>
      </w:r>
      <w:r w:rsidR="00FD491E">
        <w:t xml:space="preserve">ou should seek </w:t>
      </w:r>
      <w:r w:rsidRPr="00E27AD7">
        <w:t xml:space="preserve">advice and guidance from </w:t>
      </w:r>
      <w:r w:rsidR="00FD491E">
        <w:t>your</w:t>
      </w:r>
      <w:r w:rsidRPr="00E27AD7">
        <w:t xml:space="preserve"> local procurement team on the appropriate procurement approach and requirements specification development.</w:t>
      </w:r>
    </w:p>
    <w:p w14:paraId="78064B5A" w14:textId="0F7CE20D" w:rsidR="00334DA2" w:rsidRPr="00E27AD7" w:rsidRDefault="006944E4" w:rsidP="00E27AD7">
      <w:pPr>
        <w:pStyle w:val="BodyText"/>
        <w:ind w:right="-455"/>
      </w:pPr>
      <w:r>
        <w:t>Depending</w:t>
      </w:r>
      <w:r w:rsidR="00334DA2" w:rsidRPr="00E27AD7">
        <w:t xml:space="preserve"> on local circumstances, a formal procurement may not be necessary. If this is the case, </w:t>
      </w:r>
      <w:r w:rsidR="00494293">
        <w:t>your</w:t>
      </w:r>
      <w:r w:rsidR="00334DA2" w:rsidRPr="00E27AD7">
        <w:t xml:space="preserve"> procurement team can advise on compliance with relevant legislation.</w:t>
      </w:r>
    </w:p>
    <w:p w14:paraId="3A598111" w14:textId="26258064" w:rsidR="00866D32" w:rsidRDefault="00334DA2" w:rsidP="00E27AD7">
      <w:pPr>
        <w:pStyle w:val="BodyText"/>
        <w:ind w:right="-455"/>
      </w:pPr>
      <w:r w:rsidRPr="02DE7D7E">
        <w:t>If a formal procurement process is necessary</w:t>
      </w:r>
      <w:r w:rsidR="00866D32">
        <w:t xml:space="preserve"> for remote monitoring</w:t>
      </w:r>
      <w:r w:rsidR="00C24772">
        <w:t xml:space="preserve"> </w:t>
      </w:r>
      <w:r w:rsidR="00866D32">
        <w:t>/</w:t>
      </w:r>
      <w:r w:rsidR="00C24772">
        <w:t xml:space="preserve"> </w:t>
      </w:r>
      <w:r w:rsidR="00866D32">
        <w:t>virtual ward solutions</w:t>
      </w:r>
      <w:r w:rsidRPr="02DE7D7E">
        <w:t xml:space="preserve">, </w:t>
      </w:r>
      <w:r w:rsidR="00866D32">
        <w:t>please use the CCS Spark DPS RM6904 agreement, as this is the only endorsed route to market for these products</w:t>
      </w:r>
      <w:r w:rsidR="00866D32">
        <w:rPr>
          <w:rStyle w:val="FootnoteReference"/>
        </w:rPr>
        <w:footnoteReference w:id="2"/>
      </w:r>
      <w:r w:rsidR="00866D32">
        <w:t xml:space="preserve">. </w:t>
      </w:r>
    </w:p>
    <w:p w14:paraId="35CAACA8" w14:textId="647DB5A7" w:rsidR="00866D32" w:rsidRDefault="00334DA2" w:rsidP="00E27AD7">
      <w:pPr>
        <w:pStyle w:val="BodyText"/>
        <w:ind w:right="-455"/>
      </w:pPr>
      <w:r w:rsidRPr="02DE7D7E">
        <w:t xml:space="preserve">It may be useful to include time for market engagement in the delivery timeline. This timeline will vary but a useful </w:t>
      </w:r>
      <w:r w:rsidRPr="00E27AD7">
        <w:t>planning</w:t>
      </w:r>
      <w:r w:rsidRPr="02DE7D7E">
        <w:t xml:space="preserve"> assumption is 8–12 weeks from inception to contract award.</w:t>
      </w:r>
    </w:p>
    <w:p w14:paraId="45AEB716" w14:textId="77777777" w:rsidR="00866D32" w:rsidRPr="00866D32" w:rsidRDefault="00866D32" w:rsidP="00E27AD7">
      <w:pPr>
        <w:pStyle w:val="BodyText"/>
        <w:ind w:right="-455"/>
      </w:pPr>
    </w:p>
    <w:p w14:paraId="5B904954" w14:textId="5809D9CA" w:rsidR="00334DA2" w:rsidRPr="0022149F" w:rsidRDefault="00334DA2" w:rsidP="00334DA2">
      <w:pPr>
        <w:pStyle w:val="Heading3"/>
      </w:pPr>
      <w:bookmarkStart w:id="6" w:name="_Toc124936833"/>
      <w:r>
        <w:t xml:space="preserve">Developing a </w:t>
      </w:r>
      <w:r w:rsidR="00E27AD7">
        <w:t>r</w:t>
      </w:r>
      <w:r>
        <w:t>equirement specification</w:t>
      </w:r>
      <w:bookmarkEnd w:id="6"/>
    </w:p>
    <w:p w14:paraId="4959F401" w14:textId="51B3B8DB" w:rsidR="00334DA2" w:rsidRPr="0022149F" w:rsidRDefault="00683B97" w:rsidP="00E27AD7">
      <w:pPr>
        <w:pStyle w:val="BodyText"/>
        <w:ind w:right="-455"/>
        <w:rPr>
          <w:b/>
          <w:bCs/>
          <w:color w:val="auto"/>
          <w:lang w:eastAsia="en-GB"/>
        </w:rPr>
      </w:pPr>
      <w:bookmarkStart w:id="7" w:name="_Toc847773672"/>
      <w:r>
        <w:rPr>
          <w:lang w:eastAsia="en-GB"/>
        </w:rPr>
        <w:t xml:space="preserve">Which </w:t>
      </w:r>
      <w:r w:rsidR="00334DA2" w:rsidRPr="1C2A50A1">
        <w:rPr>
          <w:lang w:eastAsia="en-GB"/>
        </w:rPr>
        <w:t>digital platform</w:t>
      </w:r>
      <w:r>
        <w:rPr>
          <w:lang w:eastAsia="en-GB"/>
        </w:rPr>
        <w:t xml:space="preserve"> </w:t>
      </w:r>
      <w:r w:rsidR="00FC4C1C">
        <w:rPr>
          <w:lang w:eastAsia="en-GB"/>
        </w:rPr>
        <w:t xml:space="preserve">you </w:t>
      </w:r>
      <w:r w:rsidR="00334DA2" w:rsidRPr="1C2A50A1">
        <w:rPr>
          <w:lang w:eastAsia="en-GB"/>
        </w:rPr>
        <w:t xml:space="preserve">chose to support a virtual ward </w:t>
      </w:r>
      <w:r>
        <w:rPr>
          <w:lang w:eastAsia="en-GB"/>
        </w:rPr>
        <w:t>will</w:t>
      </w:r>
      <w:r w:rsidR="00334DA2" w:rsidRPr="1C2A50A1">
        <w:rPr>
          <w:lang w:eastAsia="en-GB"/>
        </w:rPr>
        <w:t xml:space="preserve"> depend on local need and local system digital maturity and strategy. To support </w:t>
      </w:r>
      <w:r w:rsidR="00CC3348">
        <w:rPr>
          <w:lang w:eastAsia="en-GB"/>
        </w:rPr>
        <w:t xml:space="preserve">you in making </w:t>
      </w:r>
      <w:r w:rsidR="00334DA2" w:rsidRPr="1C2A50A1">
        <w:rPr>
          <w:lang w:eastAsia="en-GB"/>
        </w:rPr>
        <w:t>this</w:t>
      </w:r>
      <w:r>
        <w:rPr>
          <w:lang w:eastAsia="en-GB"/>
        </w:rPr>
        <w:t xml:space="preserve"> decision</w:t>
      </w:r>
      <w:r w:rsidR="00334DA2" w:rsidRPr="1C2A50A1">
        <w:rPr>
          <w:lang w:eastAsia="en-GB"/>
        </w:rPr>
        <w:t xml:space="preserve">, </w:t>
      </w:r>
      <w:r w:rsidR="00334DA2" w:rsidRPr="00E27AD7">
        <w:t>NHS</w:t>
      </w:r>
      <w:r w:rsidR="00E27AD7">
        <w:t xml:space="preserve"> </w:t>
      </w:r>
      <w:r w:rsidR="00334DA2" w:rsidRPr="00E27AD7">
        <w:t>E</w:t>
      </w:r>
      <w:r w:rsidR="00E27AD7">
        <w:t>ngland</w:t>
      </w:r>
      <w:r w:rsidR="00334DA2" w:rsidRPr="1C2A50A1">
        <w:rPr>
          <w:lang w:eastAsia="en-GB"/>
        </w:rPr>
        <w:t xml:space="preserve"> ha</w:t>
      </w:r>
      <w:r w:rsidR="00E27AD7">
        <w:rPr>
          <w:lang w:eastAsia="en-GB"/>
        </w:rPr>
        <w:t>s</w:t>
      </w:r>
      <w:r w:rsidR="00334DA2" w:rsidRPr="1C2A50A1">
        <w:rPr>
          <w:lang w:eastAsia="en-GB"/>
        </w:rPr>
        <w:t xml:space="preserve"> introduced a set of </w:t>
      </w:r>
      <w:hyperlink r:id="rId17">
        <w:r w:rsidR="00334DA2" w:rsidRPr="1C2A50A1">
          <w:rPr>
            <w:rStyle w:val="Hyperlink"/>
            <w:rFonts w:eastAsia="Times New Roman" w:cs="Arial"/>
            <w:lang w:eastAsia="en-GB"/>
          </w:rPr>
          <w:t>Digital Technology Assessment Criteria</w:t>
        </w:r>
      </w:hyperlink>
      <w:r w:rsidR="00334DA2" w:rsidRPr="1C2A50A1">
        <w:rPr>
          <w:lang w:eastAsia="en-GB"/>
        </w:rPr>
        <w:t xml:space="preserve"> (DTAC) for health and social care </w:t>
      </w:r>
      <w:r w:rsidR="00C915B2">
        <w:rPr>
          <w:lang w:eastAsia="en-GB"/>
        </w:rPr>
        <w:t>that</w:t>
      </w:r>
      <w:r w:rsidR="00334DA2" w:rsidRPr="1C2A50A1">
        <w:rPr>
          <w:lang w:eastAsia="en-GB"/>
        </w:rPr>
        <w:t xml:space="preserve"> all digital platforms are expected to meet. Systems procuring new digital platforms should ensure th</w:t>
      </w:r>
      <w:r w:rsidR="00DB65EF">
        <w:rPr>
          <w:lang w:eastAsia="en-GB"/>
        </w:rPr>
        <w:t>ese are included in</w:t>
      </w:r>
      <w:r w:rsidR="00334DA2" w:rsidRPr="1C2A50A1">
        <w:rPr>
          <w:lang w:eastAsia="en-GB"/>
        </w:rPr>
        <w:t xml:space="preserve"> their requirement specification. This gives staff, patients and people confidence that the digital health tools they use meet NHS</w:t>
      </w:r>
      <w:r w:rsidR="00E27AD7">
        <w:rPr>
          <w:lang w:eastAsia="en-GB"/>
        </w:rPr>
        <w:t xml:space="preserve"> </w:t>
      </w:r>
      <w:r w:rsidR="00334DA2" w:rsidRPr="1C2A50A1">
        <w:rPr>
          <w:lang w:eastAsia="en-GB"/>
        </w:rPr>
        <w:t>E</w:t>
      </w:r>
      <w:r w:rsidR="00E27AD7">
        <w:rPr>
          <w:lang w:eastAsia="en-GB"/>
        </w:rPr>
        <w:t>ngland</w:t>
      </w:r>
      <w:r w:rsidR="00334DA2" w:rsidRPr="1C2A50A1">
        <w:rPr>
          <w:lang w:eastAsia="en-GB"/>
        </w:rPr>
        <w:t>’s clinical safety, data protection, technical security, interoperability</w:t>
      </w:r>
      <w:r w:rsidR="00866F26">
        <w:rPr>
          <w:lang w:eastAsia="en-GB"/>
        </w:rPr>
        <w:t>,</w:t>
      </w:r>
      <w:r w:rsidR="00334DA2" w:rsidRPr="1C2A50A1">
        <w:rPr>
          <w:lang w:eastAsia="en-GB"/>
        </w:rPr>
        <w:t xml:space="preserve"> and usability and accessibility standards. </w:t>
      </w:r>
      <w:bookmarkEnd w:id="7"/>
    </w:p>
    <w:p w14:paraId="1AF2B810" w14:textId="36D4538E" w:rsidR="00334DA2" w:rsidRPr="0022149F" w:rsidRDefault="00334DA2" w:rsidP="00E27AD7">
      <w:pPr>
        <w:pStyle w:val="BodyText"/>
        <w:ind w:right="-455"/>
        <w:rPr>
          <w:lang w:eastAsia="en-GB"/>
        </w:rPr>
      </w:pPr>
      <w:r w:rsidRPr="0022149F">
        <w:rPr>
          <w:shd w:val="clear" w:color="auto" w:fill="FFFFFF"/>
          <w:lang w:eastAsia="en-GB"/>
        </w:rPr>
        <w:t xml:space="preserve">Once the clinical and business needs are determined, </w:t>
      </w:r>
      <w:r w:rsidR="00C84551">
        <w:rPr>
          <w:shd w:val="clear" w:color="auto" w:fill="FFFFFF"/>
          <w:lang w:eastAsia="en-GB"/>
        </w:rPr>
        <w:t xml:space="preserve">you can develop </w:t>
      </w:r>
      <w:r w:rsidRPr="0022149F">
        <w:rPr>
          <w:shd w:val="clear" w:color="auto" w:fill="FFFFFF"/>
          <w:lang w:eastAsia="en-GB"/>
        </w:rPr>
        <w:t>a requireme</w:t>
      </w:r>
      <w:r w:rsidRPr="0022149F">
        <w:rPr>
          <w:lang w:eastAsia="en-GB"/>
        </w:rPr>
        <w:t xml:space="preserve">nt specification for the use of technology in </w:t>
      </w:r>
      <w:r w:rsidR="0036014B">
        <w:rPr>
          <w:lang w:eastAsia="en-GB"/>
        </w:rPr>
        <w:t>the</w:t>
      </w:r>
      <w:r w:rsidRPr="0022149F">
        <w:rPr>
          <w:lang w:eastAsia="en-GB"/>
        </w:rPr>
        <w:t xml:space="preserve"> virtual ward. This should ideally be completed at an ICS level</w:t>
      </w:r>
      <w:r w:rsidR="00A20E39">
        <w:rPr>
          <w:lang w:eastAsia="en-GB"/>
        </w:rPr>
        <w:t>,</w:t>
      </w:r>
      <w:r w:rsidRPr="0022149F">
        <w:rPr>
          <w:lang w:eastAsia="en-GB"/>
        </w:rPr>
        <w:t xml:space="preserve"> even if different technology platforms are use</w:t>
      </w:r>
      <w:r w:rsidR="00826685">
        <w:rPr>
          <w:lang w:eastAsia="en-GB"/>
        </w:rPr>
        <w:t>d</w:t>
      </w:r>
      <w:r w:rsidRPr="0022149F">
        <w:rPr>
          <w:lang w:eastAsia="en-GB"/>
        </w:rPr>
        <w:t xml:space="preserve"> in the short term to facilitate an ICS level solution longer term. </w:t>
      </w:r>
    </w:p>
    <w:p w14:paraId="4F417ABA" w14:textId="1D98A818" w:rsidR="00334DA2" w:rsidRDefault="00334DA2" w:rsidP="00E27AD7">
      <w:pPr>
        <w:pStyle w:val="BodyText"/>
        <w:ind w:right="-455"/>
        <w:rPr>
          <w:color w:val="202122"/>
          <w:highlight w:val="white"/>
        </w:rPr>
      </w:pPr>
      <w:r w:rsidRPr="1C2A50A1">
        <w:lastRenderedPageBreak/>
        <w:t>The MoSCoW approach (</w:t>
      </w:r>
      <w:r w:rsidRPr="00BF2ADD">
        <w:rPr>
          <w:rFonts w:cs="Arial"/>
        </w:rPr>
        <w:t>Appendix 1</w:t>
      </w:r>
      <w:r w:rsidR="00444028">
        <w:t xml:space="preserve">) </w:t>
      </w:r>
      <w:r w:rsidRPr="1C2A50A1">
        <w:t xml:space="preserve">can be helpful in defining what is needed to support your </w:t>
      </w:r>
      <w:r w:rsidRPr="00E27AD7">
        <w:t>delivery</w:t>
      </w:r>
      <w:r w:rsidRPr="1C2A50A1">
        <w:t xml:space="preserve"> model. </w:t>
      </w:r>
      <w:r w:rsidRPr="1C2A50A1">
        <w:rPr>
          <w:color w:val="202122"/>
          <w:highlight w:val="white"/>
        </w:rPr>
        <w:t>This enables</w:t>
      </w:r>
      <w:r w:rsidR="004824ED">
        <w:rPr>
          <w:color w:val="202122"/>
          <w:highlight w:val="white"/>
        </w:rPr>
        <w:t xml:space="preserve"> identification of</w:t>
      </w:r>
      <w:r w:rsidRPr="1C2A50A1">
        <w:rPr>
          <w:color w:val="202122"/>
          <w:highlight w:val="white"/>
        </w:rPr>
        <w:t xml:space="preserve"> the following requirements: </w:t>
      </w:r>
    </w:p>
    <w:p w14:paraId="1E0E1680" w14:textId="77777777" w:rsidR="00334DA2" w:rsidRDefault="00334DA2" w:rsidP="00204A4A">
      <w:pPr>
        <w:numPr>
          <w:ilvl w:val="0"/>
          <w:numId w:val="8"/>
        </w:numPr>
        <w:spacing w:after="120"/>
        <w:ind w:left="851" w:right="510" w:hanging="284"/>
        <w:jc w:val="both"/>
        <w:rPr>
          <w:rFonts w:cs="Arial"/>
        </w:rPr>
      </w:pPr>
      <w:r w:rsidRPr="1C2A50A1">
        <w:rPr>
          <w:rFonts w:cs="Arial"/>
        </w:rPr>
        <w:t>must have</w:t>
      </w:r>
    </w:p>
    <w:p w14:paraId="1D81F9AE" w14:textId="77777777" w:rsidR="00334DA2" w:rsidRDefault="00334DA2" w:rsidP="00204A4A">
      <w:pPr>
        <w:numPr>
          <w:ilvl w:val="0"/>
          <w:numId w:val="8"/>
        </w:numPr>
        <w:spacing w:after="120"/>
        <w:ind w:left="851" w:right="510" w:hanging="284"/>
        <w:jc w:val="both"/>
        <w:rPr>
          <w:rFonts w:cs="Arial"/>
        </w:rPr>
      </w:pPr>
      <w:r w:rsidRPr="1C2A50A1">
        <w:rPr>
          <w:rFonts w:cs="Arial"/>
        </w:rPr>
        <w:t>should have</w:t>
      </w:r>
    </w:p>
    <w:p w14:paraId="1E543F23" w14:textId="77777777" w:rsidR="00334DA2" w:rsidRDefault="00334DA2" w:rsidP="00204A4A">
      <w:pPr>
        <w:numPr>
          <w:ilvl w:val="0"/>
          <w:numId w:val="8"/>
        </w:numPr>
        <w:spacing w:after="120"/>
        <w:ind w:left="851" w:right="510" w:hanging="284"/>
        <w:jc w:val="both"/>
        <w:rPr>
          <w:rFonts w:cs="Arial"/>
        </w:rPr>
      </w:pPr>
      <w:r w:rsidRPr="1C2A50A1">
        <w:rPr>
          <w:rFonts w:cs="Arial"/>
        </w:rPr>
        <w:t>could have</w:t>
      </w:r>
    </w:p>
    <w:p w14:paraId="2106DAAA" w14:textId="77777777" w:rsidR="00334DA2" w:rsidRDefault="00334DA2" w:rsidP="00204A4A">
      <w:pPr>
        <w:numPr>
          <w:ilvl w:val="0"/>
          <w:numId w:val="8"/>
        </w:numPr>
        <w:spacing w:after="280"/>
        <w:ind w:left="851" w:right="508" w:hanging="284"/>
        <w:jc w:val="both"/>
        <w:rPr>
          <w:rFonts w:cs="Arial"/>
        </w:rPr>
      </w:pPr>
      <w:r w:rsidRPr="1C2A50A1">
        <w:rPr>
          <w:rFonts w:cs="Arial"/>
        </w:rPr>
        <w:t>won’t have.</w:t>
      </w:r>
    </w:p>
    <w:p w14:paraId="1EFF6109" w14:textId="18AF8CA9" w:rsidR="00334DA2" w:rsidRPr="0022149F" w:rsidRDefault="005E110C" w:rsidP="00E27AD7">
      <w:pPr>
        <w:pStyle w:val="BodyText"/>
        <w:ind w:right="-455"/>
        <w:rPr>
          <w:rFonts w:cs="Arial"/>
          <w:highlight w:val="white"/>
        </w:rPr>
      </w:pPr>
      <w:r>
        <w:rPr>
          <w:rFonts w:cs="Arial"/>
        </w:rPr>
        <w:t>A</w:t>
      </w:r>
      <w:r w:rsidR="00703497">
        <w:rPr>
          <w:rFonts w:cs="Arial"/>
        </w:rPr>
        <w:t>n</w:t>
      </w:r>
      <w:r w:rsidR="00334DA2" w:rsidRPr="02DE7D7E">
        <w:rPr>
          <w:rFonts w:cs="Arial"/>
        </w:rPr>
        <w:t xml:space="preserve"> </w:t>
      </w:r>
      <w:hyperlink r:id="rId18" w:history="1">
        <w:r w:rsidR="00703497" w:rsidRPr="00C24772">
          <w:rPr>
            <w:rStyle w:val="Hyperlink"/>
            <w:rFonts w:cs="Arial"/>
          </w:rPr>
          <w:t>ex</w:t>
        </w:r>
        <w:r w:rsidR="00334DA2" w:rsidRPr="00C24772">
          <w:rPr>
            <w:rStyle w:val="Hyperlink"/>
            <w:rFonts w:cs="Arial"/>
          </w:rPr>
          <w:t>ample specification</w:t>
        </w:r>
      </w:hyperlink>
      <w:r>
        <w:rPr>
          <w:rFonts w:cs="Arial"/>
        </w:rPr>
        <w:t>, which includes example shortlisting criteria (MoSCoW), is</w:t>
      </w:r>
      <w:r w:rsidR="00334DA2" w:rsidRPr="02DE7D7E">
        <w:rPr>
          <w:rFonts w:cs="Arial"/>
        </w:rPr>
        <w:t xml:space="preserve"> </w:t>
      </w:r>
      <w:r w:rsidR="00A74C2F">
        <w:rPr>
          <w:rFonts w:cs="Arial"/>
        </w:rPr>
        <w:t>referenced</w:t>
      </w:r>
      <w:r w:rsidR="00334DA2" w:rsidRPr="02DE7D7E">
        <w:rPr>
          <w:rFonts w:cs="Arial"/>
        </w:rPr>
        <w:t xml:space="preserve"> in </w:t>
      </w:r>
      <w:r w:rsidR="00334DA2" w:rsidRPr="00A74C2F">
        <w:rPr>
          <w:rFonts w:cs="Arial"/>
        </w:rPr>
        <w:t>Appendix 2</w:t>
      </w:r>
      <w:r w:rsidR="00A74C2F">
        <w:rPr>
          <w:rFonts w:cs="Arial"/>
        </w:rPr>
        <w:t>, linking to an editable document</w:t>
      </w:r>
      <w:r w:rsidR="00334DA2" w:rsidRPr="02DE7D7E">
        <w:rPr>
          <w:rFonts w:cs="Arial"/>
        </w:rPr>
        <w:t xml:space="preserve"> on the </w:t>
      </w:r>
      <w:hyperlink r:id="rId19">
        <w:r w:rsidR="00334DA2" w:rsidRPr="02DE7D7E">
          <w:rPr>
            <w:rStyle w:val="Hyperlink"/>
            <w:rFonts w:cs="Arial"/>
          </w:rPr>
          <w:t>Innovation Collaborative workspace</w:t>
        </w:r>
      </w:hyperlink>
      <w:r w:rsidR="00334DA2" w:rsidRPr="02DE7D7E">
        <w:rPr>
          <w:rFonts w:cs="Arial"/>
        </w:rPr>
        <w:t xml:space="preserve"> on the Future</w:t>
      </w:r>
      <w:r w:rsidR="00432583">
        <w:rPr>
          <w:rFonts w:cs="Arial"/>
        </w:rPr>
        <w:t>NHS</w:t>
      </w:r>
      <w:r w:rsidR="00334DA2" w:rsidRPr="02DE7D7E">
        <w:rPr>
          <w:rFonts w:cs="Arial"/>
        </w:rPr>
        <w:t xml:space="preserve"> platform, to enable local customisation once local requirements have been defined.</w:t>
      </w:r>
    </w:p>
    <w:p w14:paraId="463A4F5D" w14:textId="77777777" w:rsidR="00334DA2" w:rsidRPr="0022149F" w:rsidRDefault="00334DA2" w:rsidP="00E27AD7">
      <w:pPr>
        <w:pStyle w:val="Heading3"/>
        <w:ind w:right="-455"/>
        <w:rPr>
          <w:highlight w:val="white"/>
        </w:rPr>
      </w:pPr>
      <w:bookmarkStart w:id="8" w:name="_Toc124936834"/>
      <w:r w:rsidRPr="1C2A50A1">
        <w:rPr>
          <w:highlight w:val="white"/>
        </w:rPr>
        <w:t>Supplier engagement</w:t>
      </w:r>
      <w:bookmarkEnd w:id="8"/>
      <w:r w:rsidRPr="1C2A50A1">
        <w:rPr>
          <w:highlight w:val="white"/>
        </w:rPr>
        <w:t xml:space="preserve"> </w:t>
      </w:r>
    </w:p>
    <w:p w14:paraId="6A4D398E" w14:textId="15F710FA" w:rsidR="002A4E8E" w:rsidRDefault="00655F0A" w:rsidP="00DB61B6">
      <w:pPr>
        <w:pStyle w:val="BodyText"/>
        <w:ind w:right="-455"/>
      </w:pPr>
      <w:r>
        <w:t>You may consider a</w:t>
      </w:r>
      <w:r w:rsidR="00334DA2" w:rsidRPr="02DE7D7E">
        <w:t xml:space="preserve"> market engagement session </w:t>
      </w:r>
      <w:r w:rsidR="009B2A07">
        <w:t>to</w:t>
      </w:r>
      <w:r w:rsidR="00334DA2" w:rsidRPr="02DE7D7E">
        <w:t xml:space="preserve"> give potential bidders a better understanding of the ICS vision and likely requirement specification before </w:t>
      </w:r>
      <w:r w:rsidR="00334DA2" w:rsidRPr="00334DA2">
        <w:t>tendering</w:t>
      </w:r>
      <w:r w:rsidR="00334DA2" w:rsidRPr="02DE7D7E">
        <w:t xml:space="preserve">. </w:t>
      </w:r>
      <w:r w:rsidR="007A3570">
        <w:t xml:space="preserve">The Crown Commercial Service provides </w:t>
      </w:r>
      <w:hyperlink r:id="rId20" w:history="1">
        <w:r w:rsidR="007A3570" w:rsidRPr="0043288F">
          <w:rPr>
            <w:rStyle w:val="Hyperlink"/>
          </w:rPr>
          <w:t>t</w:t>
        </w:r>
        <w:r w:rsidR="00334DA2" w:rsidRPr="0043288F">
          <w:rPr>
            <w:rStyle w:val="Hyperlink"/>
          </w:rPr>
          <w:t>wo scenarios</w:t>
        </w:r>
      </w:hyperlink>
      <w:r w:rsidR="00334DA2" w:rsidRPr="02DE7D7E">
        <w:t xml:space="preserve"> on how to approach supplier engagement, one where draft requirements have been agreed and one where these are not yet available. </w:t>
      </w:r>
      <w:r w:rsidR="002A4E8E">
        <w:br w:type="page"/>
      </w:r>
    </w:p>
    <w:p w14:paraId="726CE73A" w14:textId="77777777" w:rsidR="00BB168B" w:rsidRPr="00334DA2" w:rsidRDefault="00BB168B" w:rsidP="00BB168B">
      <w:pPr>
        <w:pStyle w:val="Heading1"/>
        <w:ind w:right="-455"/>
      </w:pPr>
      <w:bookmarkStart w:id="9" w:name="_Toc1212848017"/>
      <w:bookmarkStart w:id="10" w:name="_Toc124936835"/>
      <w:bookmarkStart w:id="11" w:name="_Toc125570951"/>
      <w:r>
        <w:lastRenderedPageBreak/>
        <w:t>Selecting and Procuring a Technology Platform</w:t>
      </w:r>
    </w:p>
    <w:p w14:paraId="56EFA2DE" w14:textId="4483861A" w:rsidR="00BB168B" w:rsidRDefault="00BB168B" w:rsidP="00BB168B">
      <w:pPr>
        <w:pStyle w:val="BodyText"/>
        <w:ind w:right="-455"/>
        <w:rPr>
          <w:rFonts w:cs="Arial"/>
        </w:rPr>
      </w:pPr>
      <w:r w:rsidRPr="02DE7D7E">
        <w:rPr>
          <w:rFonts w:cs="Arial"/>
        </w:rPr>
        <w:t xml:space="preserve">The following questions will help you consider what </w:t>
      </w:r>
      <w:r w:rsidRPr="02DE7D7E" w:rsidDel="00AA2AA2">
        <w:rPr>
          <w:rFonts w:cs="Arial"/>
        </w:rPr>
        <w:t xml:space="preserve">is required </w:t>
      </w:r>
      <w:r w:rsidRPr="02DE7D7E" w:rsidDel="00EE7E0B">
        <w:rPr>
          <w:rFonts w:cs="Arial"/>
        </w:rPr>
        <w:t xml:space="preserve">for </w:t>
      </w:r>
      <w:r w:rsidRPr="02DE7D7E">
        <w:rPr>
          <w:rFonts w:cs="Arial"/>
        </w:rPr>
        <w:t>your virtual ward</w:t>
      </w:r>
      <w:r w:rsidRPr="02DE7D7E" w:rsidDel="00EE7E0B">
        <w:rPr>
          <w:rFonts w:cs="Arial"/>
        </w:rPr>
        <w:t xml:space="preserve"> enabled by technology</w:t>
      </w:r>
      <w:r w:rsidRPr="02DE7D7E">
        <w:rPr>
          <w:rFonts w:cs="Arial"/>
        </w:rPr>
        <w:t xml:space="preserve">. </w:t>
      </w:r>
      <w:r w:rsidRPr="02DE7D7E" w:rsidDel="00AA2AA2">
        <w:rPr>
          <w:rFonts w:cs="Arial"/>
        </w:rPr>
        <w:t>These high-level questions include setting up</w:t>
      </w:r>
      <w:r w:rsidR="009F46F5">
        <w:rPr>
          <w:rFonts w:cs="Arial"/>
        </w:rPr>
        <w:t>,</w:t>
      </w:r>
      <w:r w:rsidRPr="02DE7D7E" w:rsidDel="00AA2AA2">
        <w:rPr>
          <w:rFonts w:cs="Arial"/>
        </w:rPr>
        <w:t xml:space="preserve"> and procuring technology to support</w:t>
      </w:r>
      <w:r w:rsidRPr="02DE7D7E" w:rsidDel="00EC1C6C">
        <w:rPr>
          <w:rFonts w:cs="Arial"/>
        </w:rPr>
        <w:t>,</w:t>
      </w:r>
      <w:r w:rsidRPr="02DE7D7E" w:rsidDel="00AA2AA2">
        <w:rPr>
          <w:rFonts w:cs="Arial"/>
        </w:rPr>
        <w:t xml:space="preserve"> a virtual ward.</w:t>
      </w:r>
      <w:r w:rsidR="009F46F5">
        <w:rPr>
          <w:rFonts w:cs="Arial"/>
        </w:rPr>
        <w:t xml:space="preserve"> These questions should be considered in conjunction with </w:t>
      </w:r>
      <w:hyperlink r:id="rId21" w:history="1">
        <w:r w:rsidR="009F46F5" w:rsidRPr="009F46F5">
          <w:rPr>
            <w:rStyle w:val="Hyperlink"/>
            <w:rFonts w:cs="Arial"/>
          </w:rPr>
          <w:t>'A guide to setting up technology-enabled virtual wards'.</w:t>
        </w:r>
      </w:hyperlink>
    </w:p>
    <w:p w14:paraId="4247EFCC" w14:textId="71ED8A52" w:rsidR="00BB168B" w:rsidRPr="0022149F" w:rsidRDefault="00BB168B" w:rsidP="00BB168B">
      <w:pPr>
        <w:pStyle w:val="BodyText"/>
        <w:ind w:right="-455"/>
        <w:rPr>
          <w:rFonts w:cs="Arial"/>
        </w:rPr>
      </w:pPr>
      <w:r w:rsidRPr="02DE7D7E">
        <w:rPr>
          <w:rFonts w:cs="Arial"/>
        </w:rPr>
        <w:t xml:space="preserve">Further detail is </w:t>
      </w:r>
      <w:r>
        <w:rPr>
          <w:rFonts w:cs="Arial"/>
        </w:rPr>
        <w:t>given</w:t>
      </w:r>
      <w:r w:rsidRPr="02DE7D7E">
        <w:rPr>
          <w:rFonts w:cs="Arial"/>
        </w:rPr>
        <w:t xml:space="preserve"> in </w:t>
      </w:r>
      <w:r>
        <w:rPr>
          <w:rFonts w:cs="Arial"/>
        </w:rPr>
        <w:t xml:space="preserve">the </w:t>
      </w:r>
      <w:hyperlink r:id="rId22" w:history="1">
        <w:r w:rsidRPr="00C24772">
          <w:rPr>
            <w:rStyle w:val="Hyperlink"/>
            <w:rFonts w:cs="Arial"/>
          </w:rPr>
          <w:t>example specification</w:t>
        </w:r>
      </w:hyperlink>
      <w:r>
        <w:rPr>
          <w:rFonts w:cs="Arial"/>
        </w:rPr>
        <w:t xml:space="preserve"> referenced in </w:t>
      </w:r>
      <w:r w:rsidRPr="02DE7D7E">
        <w:rPr>
          <w:rFonts w:cs="Arial"/>
        </w:rPr>
        <w:t>Appendix 2.</w:t>
      </w:r>
    </w:p>
    <w:p w14:paraId="5CC73415" w14:textId="77777777" w:rsidR="00BB168B" w:rsidRPr="0022149F" w:rsidRDefault="00BB168B" w:rsidP="00204A4A">
      <w:pPr>
        <w:numPr>
          <w:ilvl w:val="0"/>
          <w:numId w:val="7"/>
        </w:numPr>
        <w:spacing w:after="120" w:line="360" w:lineRule="atLeast"/>
        <w:ind w:left="851" w:right="-454" w:hanging="284"/>
        <w:rPr>
          <w:rFonts w:cs="Arial"/>
        </w:rPr>
      </w:pPr>
      <w:r w:rsidRPr="1C2A50A1">
        <w:rPr>
          <w:rFonts w:cs="Arial"/>
        </w:rPr>
        <w:t>What is the current and longer-term plan for your virtual ward and technology enablement?</w:t>
      </w:r>
    </w:p>
    <w:p w14:paraId="6125F4B3" w14:textId="77777777" w:rsidR="00BB168B" w:rsidRPr="0022149F" w:rsidRDefault="00BB168B" w:rsidP="00BB168B">
      <w:pPr>
        <w:pStyle w:val="ListBullet"/>
        <w:ind w:left="1134" w:right="-455" w:hanging="283"/>
        <w:rPr>
          <w:rFonts w:cs="Arial"/>
        </w:rPr>
      </w:pPr>
      <w:r w:rsidRPr="02DE7D7E">
        <w:rPr>
          <w:rFonts w:cs="Arial"/>
        </w:rPr>
        <w:t xml:space="preserve">Are you likely to want to use the same technology platform for long-term condition monitoring </w:t>
      </w:r>
      <w:bookmarkStart w:id="12" w:name="_Int_F5KxLY9E"/>
      <w:r w:rsidRPr="02DE7D7E">
        <w:rPr>
          <w:rFonts w:cs="Arial"/>
        </w:rPr>
        <w:t>at a later date</w:t>
      </w:r>
      <w:bookmarkEnd w:id="12"/>
      <w:r w:rsidRPr="02DE7D7E">
        <w:rPr>
          <w:rFonts w:cs="Arial"/>
        </w:rPr>
        <w:t>?</w:t>
      </w:r>
    </w:p>
    <w:p w14:paraId="08296686" w14:textId="77777777" w:rsidR="00BB168B" w:rsidRPr="0022149F" w:rsidRDefault="00BB168B" w:rsidP="00BB168B">
      <w:pPr>
        <w:pStyle w:val="ListBullet"/>
        <w:ind w:left="1134" w:right="-455" w:hanging="283"/>
      </w:pPr>
      <w:r w:rsidRPr="02DE7D7E">
        <w:t>Is your plan consistent with your ICS digital strategy?</w:t>
      </w:r>
    </w:p>
    <w:p w14:paraId="374EE0F2" w14:textId="77777777" w:rsidR="00BB168B" w:rsidRPr="0022149F" w:rsidRDefault="00BB168B" w:rsidP="00BB168B">
      <w:pPr>
        <w:pStyle w:val="ListBullet"/>
        <w:spacing w:after="280"/>
        <w:ind w:left="1134" w:right="-455" w:hanging="283"/>
        <w:rPr>
          <w:rFonts w:cs="Arial"/>
        </w:rPr>
      </w:pPr>
      <w:r>
        <w:rPr>
          <w:rFonts w:cs="Arial"/>
        </w:rPr>
        <w:t>Does</w:t>
      </w:r>
      <w:r w:rsidRPr="0022149F">
        <w:rPr>
          <w:rFonts w:cs="Arial"/>
        </w:rPr>
        <w:t xml:space="preserve"> your plan align </w:t>
      </w:r>
      <w:r>
        <w:rPr>
          <w:rFonts w:cs="Arial"/>
        </w:rPr>
        <w:t>to</w:t>
      </w:r>
      <w:r w:rsidRPr="0022149F">
        <w:rPr>
          <w:rFonts w:cs="Arial"/>
        </w:rPr>
        <w:t xml:space="preserve"> those of your partner organisations? </w:t>
      </w:r>
    </w:p>
    <w:p w14:paraId="68187B94" w14:textId="77777777" w:rsidR="00BB168B" w:rsidRPr="0022149F" w:rsidRDefault="00BB168B" w:rsidP="00204A4A">
      <w:pPr>
        <w:numPr>
          <w:ilvl w:val="0"/>
          <w:numId w:val="7"/>
        </w:numPr>
        <w:spacing w:after="120" w:line="276" w:lineRule="auto"/>
        <w:ind w:left="851" w:right="-455" w:hanging="284"/>
        <w:rPr>
          <w:rFonts w:cs="Arial"/>
        </w:rPr>
      </w:pPr>
      <w:r w:rsidRPr="0022149F">
        <w:rPr>
          <w:rFonts w:cs="Arial"/>
        </w:rPr>
        <w:t>What monitoring equipment do you need</w:t>
      </w:r>
      <w:r w:rsidRPr="00BB168B">
        <w:rPr>
          <w:rStyle w:val="Heading1Char"/>
          <w:rFonts w:cs="Arial"/>
          <w:color w:val="231F20"/>
          <w:shd w:val="clear" w:color="auto" w:fill="FFFFFF"/>
        </w:rPr>
        <w:t xml:space="preserve"> </w:t>
      </w:r>
      <w:r>
        <w:rPr>
          <w:rStyle w:val="normaltextrun"/>
          <w:rFonts w:cs="Arial"/>
          <w:shd w:val="clear" w:color="auto" w:fill="FFFFFF"/>
        </w:rPr>
        <w:t>to meet the needs of your clinical pathways?</w:t>
      </w:r>
    </w:p>
    <w:p w14:paraId="0E49CA8A" w14:textId="77777777" w:rsidR="00BB168B" w:rsidRPr="0022149F" w:rsidRDefault="00BB168B" w:rsidP="00BB168B">
      <w:pPr>
        <w:pStyle w:val="ListBullet"/>
        <w:ind w:left="1134" w:right="-455" w:hanging="283"/>
        <w:rPr>
          <w:rFonts w:cs="Arial"/>
        </w:rPr>
      </w:pPr>
      <w:r w:rsidRPr="0022149F">
        <w:rPr>
          <w:rFonts w:cs="Arial"/>
        </w:rPr>
        <w:t>What monitoring equipment do you need for the initial rollout?</w:t>
      </w:r>
    </w:p>
    <w:p w14:paraId="3FEBC795" w14:textId="77777777" w:rsidR="00BB168B" w:rsidRPr="0022149F" w:rsidRDefault="00BB168B" w:rsidP="00BB168B">
      <w:pPr>
        <w:pStyle w:val="ListBullet"/>
        <w:ind w:left="1134" w:hanging="283"/>
      </w:pPr>
      <w:r w:rsidRPr="02DE7D7E">
        <w:t xml:space="preserve">What equipment </w:t>
      </w:r>
      <w:r w:rsidRPr="00AD0DDF">
        <w:t>might</w:t>
      </w:r>
      <w:r w:rsidRPr="02DE7D7E">
        <w:t xml:space="preserve"> you </w:t>
      </w:r>
      <w:r>
        <w:t>require</w:t>
      </w:r>
      <w:r w:rsidRPr="02DE7D7E">
        <w:t xml:space="preserve"> </w:t>
      </w:r>
      <w:bookmarkStart w:id="13" w:name="_Int_Ii9HAEpM"/>
      <w:r w:rsidRPr="02DE7D7E">
        <w:t>at a later date</w:t>
      </w:r>
      <w:bookmarkEnd w:id="13"/>
      <w:r w:rsidRPr="02DE7D7E">
        <w:t>?</w:t>
      </w:r>
    </w:p>
    <w:p w14:paraId="5354627D" w14:textId="09981012" w:rsidR="00BB168B" w:rsidRPr="0022149F" w:rsidRDefault="00BB168B" w:rsidP="00BB168B">
      <w:pPr>
        <w:pStyle w:val="ListBullet"/>
        <w:ind w:left="1134" w:right="-455" w:hanging="283"/>
        <w:rPr>
          <w:rFonts w:cs="Arial"/>
        </w:rPr>
      </w:pPr>
      <w:r w:rsidRPr="0022149F">
        <w:rPr>
          <w:rFonts w:cs="Arial"/>
        </w:rPr>
        <w:t>Do you want patients to have the option to use their own device, e</w:t>
      </w:r>
      <w:r w:rsidR="00E24597">
        <w:rPr>
          <w:rFonts w:cs="Arial"/>
        </w:rPr>
        <w:t>.</w:t>
      </w:r>
      <w:r w:rsidRPr="0022149F">
        <w:rPr>
          <w:rFonts w:cs="Arial"/>
        </w:rPr>
        <w:t>g</w:t>
      </w:r>
      <w:r w:rsidR="00E24597">
        <w:rPr>
          <w:rFonts w:cs="Arial"/>
        </w:rPr>
        <w:t>.</w:t>
      </w:r>
      <w:r w:rsidRPr="0022149F">
        <w:rPr>
          <w:rFonts w:cs="Arial"/>
        </w:rPr>
        <w:t xml:space="preserve"> their own smartphone or monitoring equipment, to reduce costs?</w:t>
      </w:r>
    </w:p>
    <w:p w14:paraId="67533A90" w14:textId="77777777" w:rsidR="00BB168B" w:rsidRPr="0022149F" w:rsidRDefault="00BB168B" w:rsidP="00BB168B">
      <w:pPr>
        <w:pStyle w:val="ListBullet"/>
        <w:spacing w:after="280"/>
        <w:ind w:left="1134" w:hanging="283"/>
      </w:pPr>
      <w:r w:rsidRPr="0022149F">
        <w:t>Do you want to be able to continually monitor patients with proactive alerts using wearable devices or to do spot monitoring?</w:t>
      </w:r>
      <w:r w:rsidRPr="0022149F">
        <w:rPr>
          <w:vertAlign w:val="superscript"/>
        </w:rPr>
        <w:footnoteReference w:id="3"/>
      </w:r>
      <w:r w:rsidRPr="0022149F">
        <w:t xml:space="preserve"> </w:t>
      </w:r>
    </w:p>
    <w:p w14:paraId="7EFA8864" w14:textId="77777777" w:rsidR="00BB168B" w:rsidRPr="0022149F" w:rsidRDefault="00BB168B" w:rsidP="00204A4A">
      <w:pPr>
        <w:pStyle w:val="ListParagraph"/>
        <w:numPr>
          <w:ilvl w:val="0"/>
          <w:numId w:val="7"/>
        </w:numPr>
        <w:spacing w:after="280" w:line="360" w:lineRule="atLeast"/>
        <w:ind w:left="851" w:right="-454" w:hanging="284"/>
        <w:contextualSpacing w:val="0"/>
        <w:rPr>
          <w:rFonts w:cs="Arial"/>
        </w:rPr>
      </w:pPr>
      <w:r w:rsidRPr="0022149F">
        <w:rPr>
          <w:rFonts w:cs="Arial"/>
        </w:rPr>
        <w:t xml:space="preserve">How will you involve patients and carers in co-producing the </w:t>
      </w:r>
      <w:r>
        <w:rPr>
          <w:rFonts w:cs="Arial"/>
        </w:rPr>
        <w:t xml:space="preserve">technology </w:t>
      </w:r>
      <w:r w:rsidRPr="0022149F">
        <w:rPr>
          <w:rFonts w:cs="Arial"/>
        </w:rPr>
        <w:t xml:space="preserve">design of your service? </w:t>
      </w:r>
    </w:p>
    <w:p w14:paraId="6C4F5B9D" w14:textId="7CBABC03" w:rsidR="00BB168B" w:rsidRPr="0022149F" w:rsidRDefault="00BB168B" w:rsidP="00204A4A">
      <w:pPr>
        <w:numPr>
          <w:ilvl w:val="0"/>
          <w:numId w:val="7"/>
        </w:numPr>
        <w:spacing w:after="280" w:line="360" w:lineRule="atLeast"/>
        <w:ind w:left="851" w:right="-455" w:hanging="284"/>
        <w:rPr>
          <w:rFonts w:cs="Arial"/>
        </w:rPr>
      </w:pPr>
      <w:r w:rsidRPr="1C2A50A1">
        <w:rPr>
          <w:rFonts w:cs="Arial"/>
        </w:rPr>
        <w:t xml:space="preserve">Have you completed an </w:t>
      </w:r>
      <w:hyperlink r:id="rId23">
        <w:r w:rsidRPr="1C2A50A1">
          <w:rPr>
            <w:rStyle w:val="Hyperlink"/>
            <w:rFonts w:cs="Arial"/>
          </w:rPr>
          <w:t>Equality and Health Inequali</w:t>
        </w:r>
        <w:r w:rsidRPr="1C2A50A1">
          <w:rPr>
            <w:rStyle w:val="Hyperlink"/>
            <w:rFonts w:cs="Arial"/>
          </w:rPr>
          <w:t>t</w:t>
        </w:r>
        <w:r w:rsidRPr="1C2A50A1">
          <w:rPr>
            <w:rStyle w:val="Hyperlink"/>
            <w:rFonts w:cs="Arial"/>
          </w:rPr>
          <w:t>ies Impact Assessment</w:t>
        </w:r>
      </w:hyperlink>
      <w:r w:rsidRPr="1C2A50A1">
        <w:rPr>
          <w:rFonts w:cs="Arial"/>
        </w:rPr>
        <w:t xml:space="preserve"> (EHIA) which considers the lived experiences of patients and the public and defines the purpose of the project?</w:t>
      </w:r>
    </w:p>
    <w:p w14:paraId="3B7A7678" w14:textId="01DB40A7" w:rsidR="00BB168B" w:rsidRPr="0022149F" w:rsidRDefault="00BB168B" w:rsidP="00204A4A">
      <w:pPr>
        <w:numPr>
          <w:ilvl w:val="0"/>
          <w:numId w:val="7"/>
        </w:numPr>
        <w:spacing w:after="280" w:line="360" w:lineRule="atLeast"/>
        <w:ind w:left="851" w:right="-455" w:hanging="284"/>
        <w:rPr>
          <w:rFonts w:cs="Arial"/>
        </w:rPr>
      </w:pPr>
      <w:r w:rsidRPr="0022149F">
        <w:rPr>
          <w:rFonts w:cs="Arial"/>
        </w:rPr>
        <w:lastRenderedPageBreak/>
        <w:t>Does the use of a remote monitoring solution need further data protection impact assessments (DPIA</w:t>
      </w:r>
      <w:r>
        <w:rPr>
          <w:rFonts w:cs="Arial"/>
        </w:rPr>
        <w:t>s</w:t>
      </w:r>
      <w:r w:rsidRPr="0022149F">
        <w:rPr>
          <w:rFonts w:cs="Arial"/>
        </w:rPr>
        <w:t>) or the updating of data sharing agreements (DSA</w:t>
      </w:r>
      <w:r>
        <w:rPr>
          <w:rFonts w:cs="Arial"/>
        </w:rPr>
        <w:t>s</w:t>
      </w:r>
      <w:r w:rsidRPr="0022149F">
        <w:rPr>
          <w:rFonts w:cs="Arial"/>
        </w:rPr>
        <w:t>)</w:t>
      </w:r>
      <w:r w:rsidR="00B2483F">
        <w:rPr>
          <w:rFonts w:cs="Arial"/>
        </w:rPr>
        <w:t xml:space="preserve"> </w:t>
      </w:r>
      <w:r w:rsidRPr="0022149F">
        <w:rPr>
          <w:rFonts w:cs="Arial"/>
        </w:rPr>
        <w:t>/</w:t>
      </w:r>
      <w:r w:rsidR="00B2483F">
        <w:rPr>
          <w:rFonts w:cs="Arial"/>
        </w:rPr>
        <w:t xml:space="preserve"> </w:t>
      </w:r>
      <w:r w:rsidRPr="0022149F">
        <w:rPr>
          <w:rFonts w:cs="Arial"/>
        </w:rPr>
        <w:t>data processing agreements (DPA</w:t>
      </w:r>
      <w:r>
        <w:rPr>
          <w:rFonts w:cs="Arial"/>
        </w:rPr>
        <w:t>s</w:t>
      </w:r>
      <w:r w:rsidRPr="0022149F">
        <w:rPr>
          <w:rFonts w:cs="Arial"/>
        </w:rPr>
        <w:t>)?</w:t>
      </w:r>
    </w:p>
    <w:p w14:paraId="641FAABD" w14:textId="0079E3F0" w:rsidR="00BB168B" w:rsidRPr="0022149F" w:rsidRDefault="00BB168B" w:rsidP="00204A4A">
      <w:pPr>
        <w:numPr>
          <w:ilvl w:val="0"/>
          <w:numId w:val="7"/>
        </w:numPr>
        <w:spacing w:after="280" w:line="360" w:lineRule="atLeast"/>
        <w:ind w:left="851" w:right="-455" w:hanging="284"/>
        <w:rPr>
          <w:rFonts w:cs="Arial"/>
        </w:rPr>
      </w:pPr>
      <w:r w:rsidRPr="02DE7D7E">
        <w:rPr>
          <w:rFonts w:cs="Arial"/>
        </w:rPr>
        <w:t xml:space="preserve">Have you contacted your </w:t>
      </w:r>
      <w:r>
        <w:rPr>
          <w:rFonts w:cs="Arial"/>
        </w:rPr>
        <w:t>c</w:t>
      </w:r>
      <w:r w:rsidRPr="02DE7D7E">
        <w:rPr>
          <w:rFonts w:cs="Arial"/>
        </w:rPr>
        <w:t xml:space="preserve">linical </w:t>
      </w:r>
      <w:r>
        <w:rPr>
          <w:rFonts w:cs="Arial"/>
        </w:rPr>
        <w:t>s</w:t>
      </w:r>
      <w:r w:rsidRPr="02DE7D7E">
        <w:rPr>
          <w:rFonts w:cs="Arial"/>
        </w:rPr>
        <w:t xml:space="preserve">afety </w:t>
      </w:r>
      <w:r>
        <w:rPr>
          <w:rFonts w:cs="Arial"/>
        </w:rPr>
        <w:t>o</w:t>
      </w:r>
      <w:r w:rsidRPr="02DE7D7E">
        <w:rPr>
          <w:rFonts w:cs="Arial"/>
        </w:rPr>
        <w:t>fficer (CSO) to start collating the necessary files</w:t>
      </w:r>
      <w:r w:rsidR="00D54BFA">
        <w:rPr>
          <w:rFonts w:cs="Arial"/>
        </w:rPr>
        <w:t xml:space="preserve"> </w:t>
      </w:r>
      <w:r w:rsidRPr="02DE7D7E">
        <w:rPr>
          <w:rFonts w:cs="Arial"/>
        </w:rPr>
        <w:t>/</w:t>
      </w:r>
      <w:r w:rsidR="00D54BFA">
        <w:rPr>
          <w:rFonts w:cs="Arial"/>
        </w:rPr>
        <w:t xml:space="preserve"> </w:t>
      </w:r>
      <w:r w:rsidRPr="02DE7D7E">
        <w:rPr>
          <w:rFonts w:cs="Arial"/>
        </w:rPr>
        <w:t xml:space="preserve">evidence for your clinical safety assessment? </w:t>
      </w:r>
    </w:p>
    <w:p w14:paraId="2DE60A00" w14:textId="77777777" w:rsidR="00BB168B" w:rsidRPr="0022149F" w:rsidRDefault="00BB168B" w:rsidP="00BB168B">
      <w:pPr>
        <w:pStyle w:val="ListBullet"/>
        <w:spacing w:after="120"/>
        <w:ind w:left="1135" w:right="-455"/>
      </w:pPr>
      <w:r w:rsidRPr="02DE7D7E">
        <w:t xml:space="preserve">Trusts should appoint an appropriately trained </w:t>
      </w:r>
      <w:r>
        <w:t>CSO</w:t>
      </w:r>
      <w:r w:rsidRPr="02DE7D7E">
        <w:t xml:space="preserve"> to ensure compliance with the mandated </w:t>
      </w:r>
      <w:r>
        <w:t>c</w:t>
      </w:r>
      <w:r w:rsidRPr="02DE7D7E">
        <w:t xml:space="preserve">linical </w:t>
      </w:r>
      <w:r>
        <w:t>s</w:t>
      </w:r>
      <w:r w:rsidRPr="02DE7D7E">
        <w:t xml:space="preserve">afety </w:t>
      </w:r>
      <w:r>
        <w:t>s</w:t>
      </w:r>
      <w:r w:rsidRPr="02DE7D7E">
        <w:t>tandards DCB 0129 and DCB 0160. This will ensure that a comprehensive clinical risk assessment of any digital technologies for use within a virtual ward environment ha</w:t>
      </w:r>
      <w:r>
        <w:t>s</w:t>
      </w:r>
      <w:r w:rsidRPr="02DE7D7E">
        <w:t xml:space="preserve"> been considered and appropriate mitigating action </w:t>
      </w:r>
      <w:r>
        <w:t>taken</w:t>
      </w:r>
      <w:r w:rsidRPr="02DE7D7E">
        <w:t xml:space="preserve">. It is the responsibility of the </w:t>
      </w:r>
      <w:r>
        <w:t xml:space="preserve">trust’s </w:t>
      </w:r>
      <w:r w:rsidRPr="02DE7D7E">
        <w:t xml:space="preserve">CSO to sign off any associated </w:t>
      </w:r>
      <w:r>
        <w:t>c</w:t>
      </w:r>
      <w:r w:rsidRPr="02DE7D7E">
        <w:t xml:space="preserve">linical </w:t>
      </w:r>
      <w:r>
        <w:t>s</w:t>
      </w:r>
      <w:r w:rsidRPr="02DE7D7E">
        <w:t xml:space="preserve">afety </w:t>
      </w:r>
      <w:r>
        <w:t>c</w:t>
      </w:r>
      <w:r w:rsidRPr="02DE7D7E">
        <w:t xml:space="preserve">ase </w:t>
      </w:r>
      <w:r>
        <w:t>r</w:t>
      </w:r>
      <w:r w:rsidRPr="02DE7D7E">
        <w:t>eports.</w:t>
      </w:r>
    </w:p>
    <w:p w14:paraId="6D1A66B5" w14:textId="77777777" w:rsidR="00BB168B" w:rsidRPr="0022149F" w:rsidRDefault="00BB168B" w:rsidP="00BB168B">
      <w:pPr>
        <w:pStyle w:val="ListBullet"/>
        <w:spacing w:after="280"/>
        <w:ind w:left="1135" w:right="-454"/>
      </w:pPr>
      <w:r w:rsidRPr="0022149F">
        <w:t xml:space="preserve">Trusts will also have to ensure that a robust reporting system </w:t>
      </w:r>
      <w:r>
        <w:t xml:space="preserve">is </w:t>
      </w:r>
      <w:r w:rsidRPr="0022149F">
        <w:t xml:space="preserve">in place </w:t>
      </w:r>
      <w:r>
        <w:t>for</w:t>
      </w:r>
      <w:r w:rsidRPr="0022149F">
        <w:t xml:space="preserve"> any digital clinical safety incidents associated with virtual ward technologies</w:t>
      </w:r>
      <w:r>
        <w:t>, to ensure both that they</w:t>
      </w:r>
      <w:r w:rsidRPr="0022149F">
        <w:t xml:space="preserve"> are reported and opportunities for learning from events are maximised.</w:t>
      </w:r>
    </w:p>
    <w:p w14:paraId="28E31D40" w14:textId="68814E49" w:rsidR="00BB168B" w:rsidRPr="0022149F" w:rsidRDefault="00BB168B" w:rsidP="00204A4A">
      <w:pPr>
        <w:numPr>
          <w:ilvl w:val="0"/>
          <w:numId w:val="7"/>
        </w:numPr>
        <w:spacing w:after="280" w:line="360" w:lineRule="atLeast"/>
        <w:ind w:left="851" w:right="-454" w:hanging="284"/>
        <w:rPr>
          <w:rFonts w:cs="Arial"/>
        </w:rPr>
      </w:pPr>
      <w:r>
        <w:rPr>
          <w:rFonts w:cs="Arial"/>
        </w:rPr>
        <w:t>W</w:t>
      </w:r>
      <w:r w:rsidRPr="0022149F">
        <w:rPr>
          <w:rFonts w:cs="Arial"/>
        </w:rPr>
        <w:t xml:space="preserve">hat systems </w:t>
      </w:r>
      <w:r w:rsidR="00D54BFA">
        <w:rPr>
          <w:rFonts w:cs="Arial"/>
        </w:rPr>
        <w:t xml:space="preserve">and devices </w:t>
      </w:r>
      <w:r w:rsidRPr="0022149F">
        <w:rPr>
          <w:rFonts w:cs="Arial"/>
        </w:rPr>
        <w:t xml:space="preserve">does your remote monitoring platform need to link to or be interoperable with? </w:t>
      </w:r>
    </w:p>
    <w:p w14:paraId="2BE5DE84" w14:textId="069B7EDF" w:rsidR="00BB168B" w:rsidRPr="00267D05" w:rsidRDefault="00BB168B" w:rsidP="00BB168B">
      <w:pPr>
        <w:pStyle w:val="ListBullet"/>
        <w:ind w:left="1134" w:hanging="283"/>
      </w:pPr>
      <w:r w:rsidRPr="00267D05">
        <w:t>What systems</w:t>
      </w:r>
      <w:r w:rsidR="00D54BFA">
        <w:t xml:space="preserve"> and devices</w:t>
      </w:r>
      <w:r w:rsidRPr="00267D05">
        <w:t xml:space="preserve"> will it need to link to in the future?</w:t>
      </w:r>
    </w:p>
    <w:p w14:paraId="2C96459F" w14:textId="77777777" w:rsidR="00BB168B" w:rsidRPr="0022149F" w:rsidRDefault="00BB168B" w:rsidP="00BB168B">
      <w:pPr>
        <w:pStyle w:val="ListBullet"/>
        <w:spacing w:after="280"/>
        <w:ind w:left="1135"/>
      </w:pPr>
      <w:r w:rsidRPr="00267D05">
        <w:t>Are there any additional costs associated with</w:t>
      </w:r>
      <w:r w:rsidRPr="0022149F">
        <w:t xml:space="preserve"> this?</w:t>
      </w:r>
    </w:p>
    <w:p w14:paraId="1BF9AC2C" w14:textId="77777777" w:rsidR="00BB168B" w:rsidRPr="0022149F" w:rsidRDefault="00BB168B" w:rsidP="00204A4A">
      <w:pPr>
        <w:numPr>
          <w:ilvl w:val="0"/>
          <w:numId w:val="7"/>
        </w:numPr>
        <w:spacing w:before="120" w:after="280" w:line="276" w:lineRule="auto"/>
        <w:ind w:left="851" w:right="-454" w:hanging="284"/>
        <w:rPr>
          <w:rFonts w:cs="Arial"/>
        </w:rPr>
      </w:pPr>
      <w:r w:rsidRPr="0022149F">
        <w:rPr>
          <w:rFonts w:cs="Arial"/>
        </w:rPr>
        <w:t>Who will require access to any monitoring data you collect, and where will they be working?</w:t>
      </w:r>
    </w:p>
    <w:p w14:paraId="544ECB6E" w14:textId="77777777" w:rsidR="00BB168B" w:rsidRPr="00267D05" w:rsidRDefault="00BB168B" w:rsidP="00BB168B">
      <w:pPr>
        <w:pStyle w:val="ListBullet"/>
        <w:ind w:left="1134" w:right="-455" w:hanging="283"/>
      </w:pPr>
      <w:r w:rsidRPr="00267D05">
        <w:t>Will it only be shared within the host organisation?</w:t>
      </w:r>
    </w:p>
    <w:p w14:paraId="6DDF24AF" w14:textId="77777777" w:rsidR="00BB168B" w:rsidRPr="00267D05" w:rsidRDefault="00BB168B" w:rsidP="00BB168B">
      <w:pPr>
        <w:pStyle w:val="ListBullet"/>
        <w:ind w:left="1134" w:right="-455" w:hanging="283"/>
      </w:pPr>
      <w:r w:rsidRPr="00267D05">
        <w:t>Do other system partners require access, or will they as part of a future roadmap?</w:t>
      </w:r>
    </w:p>
    <w:p w14:paraId="248F32BB" w14:textId="77777777" w:rsidR="00BB168B" w:rsidRPr="00267D05" w:rsidRDefault="00BB168B" w:rsidP="00BB168B">
      <w:pPr>
        <w:pStyle w:val="ListBullet"/>
        <w:spacing w:after="600"/>
        <w:ind w:left="1135" w:right="-454"/>
      </w:pPr>
      <w:r w:rsidRPr="00267D05">
        <w:t>How will they access the data?</w:t>
      </w:r>
    </w:p>
    <w:p w14:paraId="41B8C44D" w14:textId="77777777" w:rsidR="00BB168B" w:rsidRDefault="00BB168B">
      <w:pPr>
        <w:rPr>
          <w:rFonts w:eastAsiaTheme="majorEastAsia" w:cstheme="majorBidi"/>
          <w:color w:val="005EB8"/>
          <w:sz w:val="48"/>
          <w:szCs w:val="32"/>
        </w:rPr>
      </w:pPr>
      <w:r>
        <w:br w:type="page"/>
      </w:r>
    </w:p>
    <w:p w14:paraId="749D8358" w14:textId="3018C7E1" w:rsidR="002A4E8E" w:rsidRPr="0025203A" w:rsidRDefault="002A4E8E" w:rsidP="002A4E8E">
      <w:pPr>
        <w:pStyle w:val="Heading1"/>
      </w:pPr>
      <w:r w:rsidRPr="0025203A">
        <w:lastRenderedPageBreak/>
        <w:t>Appendix 1: The MoSCoW approach</w:t>
      </w:r>
      <w:bookmarkEnd w:id="9"/>
      <w:bookmarkEnd w:id="10"/>
      <w:bookmarkEnd w:id="11"/>
    </w:p>
    <w:p w14:paraId="59C4BC01" w14:textId="4EEB5F20" w:rsidR="002A4E8E" w:rsidRPr="0022149F" w:rsidRDefault="002A4E8E" w:rsidP="002A4E8E">
      <w:pPr>
        <w:pStyle w:val="BodyText"/>
        <w:ind w:right="-455"/>
        <w:rPr>
          <w:highlight w:val="white"/>
        </w:rPr>
      </w:pPr>
      <w:r w:rsidRPr="0022149F">
        <w:rPr>
          <w:highlight w:val="white"/>
        </w:rPr>
        <w:t xml:space="preserve">This enables </w:t>
      </w:r>
      <w:r w:rsidR="00AE5BC8">
        <w:rPr>
          <w:highlight w:val="white"/>
        </w:rPr>
        <w:t xml:space="preserve">identification of </w:t>
      </w:r>
      <w:r w:rsidRPr="0022149F">
        <w:rPr>
          <w:highlight w:val="white"/>
        </w:rPr>
        <w:t xml:space="preserve">the following requirements: </w:t>
      </w:r>
    </w:p>
    <w:p w14:paraId="6B6D6813" w14:textId="77777777" w:rsidR="002A4E8E" w:rsidRPr="0022149F" w:rsidRDefault="002A4E8E" w:rsidP="00204A4A">
      <w:pPr>
        <w:pStyle w:val="ListParagraph"/>
        <w:numPr>
          <w:ilvl w:val="0"/>
          <w:numId w:val="9"/>
        </w:numPr>
        <w:spacing w:after="120"/>
        <w:ind w:left="851" w:right="-454" w:hanging="284"/>
        <w:contextualSpacing w:val="0"/>
        <w:jc w:val="both"/>
        <w:rPr>
          <w:rFonts w:cs="Arial"/>
        </w:rPr>
      </w:pPr>
      <w:r w:rsidRPr="1C2A50A1">
        <w:rPr>
          <w:rFonts w:cs="Arial"/>
        </w:rPr>
        <w:t>must have</w:t>
      </w:r>
    </w:p>
    <w:p w14:paraId="5F3E8874" w14:textId="77777777" w:rsidR="002A4E8E" w:rsidRPr="0022149F" w:rsidRDefault="002A4E8E" w:rsidP="00204A4A">
      <w:pPr>
        <w:pStyle w:val="ListParagraph"/>
        <w:numPr>
          <w:ilvl w:val="0"/>
          <w:numId w:val="9"/>
        </w:numPr>
        <w:spacing w:after="120"/>
        <w:ind w:left="851" w:right="-454" w:hanging="284"/>
        <w:contextualSpacing w:val="0"/>
        <w:jc w:val="both"/>
        <w:rPr>
          <w:rFonts w:cs="Arial"/>
        </w:rPr>
      </w:pPr>
      <w:r w:rsidRPr="1C2A50A1">
        <w:rPr>
          <w:rFonts w:cs="Arial"/>
        </w:rPr>
        <w:t>should have</w:t>
      </w:r>
    </w:p>
    <w:p w14:paraId="7D05A52D" w14:textId="77777777" w:rsidR="002A4E8E" w:rsidRPr="0022149F" w:rsidRDefault="002A4E8E" w:rsidP="00204A4A">
      <w:pPr>
        <w:pStyle w:val="ListParagraph"/>
        <w:numPr>
          <w:ilvl w:val="0"/>
          <w:numId w:val="9"/>
        </w:numPr>
        <w:spacing w:after="120"/>
        <w:ind w:left="851" w:right="-454" w:hanging="284"/>
        <w:contextualSpacing w:val="0"/>
        <w:jc w:val="both"/>
        <w:rPr>
          <w:rFonts w:cs="Arial"/>
        </w:rPr>
      </w:pPr>
      <w:r w:rsidRPr="1C2A50A1">
        <w:rPr>
          <w:rFonts w:cs="Arial"/>
        </w:rPr>
        <w:t>could have</w:t>
      </w:r>
    </w:p>
    <w:p w14:paraId="5C9EA3C9" w14:textId="77777777" w:rsidR="002A4E8E" w:rsidRPr="0022149F" w:rsidRDefault="002A4E8E" w:rsidP="00204A4A">
      <w:pPr>
        <w:pStyle w:val="ListParagraph"/>
        <w:numPr>
          <w:ilvl w:val="0"/>
          <w:numId w:val="9"/>
        </w:numPr>
        <w:spacing w:after="280"/>
        <w:ind w:left="851" w:right="-455" w:hanging="284"/>
        <w:jc w:val="both"/>
        <w:rPr>
          <w:rFonts w:cs="Arial"/>
        </w:rPr>
      </w:pPr>
      <w:r w:rsidRPr="1C2A50A1">
        <w:rPr>
          <w:rFonts w:cs="Arial"/>
        </w:rPr>
        <w:t>won’t have.</w:t>
      </w:r>
    </w:p>
    <w:p w14:paraId="4CFE3A59" w14:textId="77777777" w:rsidR="002A4E8E" w:rsidRPr="0022149F" w:rsidRDefault="002A4E8E" w:rsidP="002A4E8E">
      <w:pPr>
        <w:pStyle w:val="BodyText"/>
        <w:ind w:right="-455"/>
        <w:rPr>
          <w:rFonts w:cs="Arial"/>
        </w:rPr>
      </w:pPr>
      <w:r w:rsidRPr="0022149F">
        <w:rPr>
          <w:rFonts w:cs="Arial"/>
        </w:rPr>
        <w:t>The following sections give examples of how this approach might be used in practice</w:t>
      </w:r>
      <w:r>
        <w:rPr>
          <w:rFonts w:cs="Arial"/>
        </w:rPr>
        <w:t>.</w:t>
      </w:r>
    </w:p>
    <w:p w14:paraId="50114A7D" w14:textId="77777777" w:rsidR="002A4E8E" w:rsidRPr="0022149F" w:rsidRDefault="002A4E8E" w:rsidP="002A4E8E">
      <w:pPr>
        <w:pStyle w:val="Heading3"/>
        <w:ind w:right="-455"/>
      </w:pPr>
      <w:bookmarkStart w:id="14" w:name="_heading=h.m6fowpz1uf5w"/>
      <w:bookmarkStart w:id="15" w:name="_Toc1752024926"/>
      <w:bookmarkStart w:id="16" w:name="_Toc124936836"/>
      <w:bookmarkEnd w:id="14"/>
      <w:r w:rsidRPr="1C2A50A1">
        <w:t>a. Must have</w:t>
      </w:r>
      <w:bookmarkEnd w:id="15"/>
      <w:bookmarkEnd w:id="16"/>
    </w:p>
    <w:p w14:paraId="4263754D" w14:textId="43B4A45C" w:rsidR="002A4E8E" w:rsidRPr="0022149F" w:rsidRDefault="002A4E8E" w:rsidP="002A4E8E">
      <w:pPr>
        <w:pStyle w:val="BodyText"/>
        <w:ind w:right="-455"/>
        <w:rPr>
          <w:rFonts w:cs="Arial"/>
          <w:highlight w:val="white"/>
        </w:rPr>
      </w:pPr>
      <w:r w:rsidRPr="0022149F">
        <w:rPr>
          <w:rFonts w:cs="Arial"/>
          <w:highlight w:val="white"/>
        </w:rPr>
        <w:t>‘Must have’ requirements are critical to the successful delivery of a technology platform. If even one ‘must have’ requirement is not included, the platform should be deemed unsuitable. (Note: requirements can be downgraded from ‘</w:t>
      </w:r>
      <w:r w:rsidRPr="0022149F">
        <w:rPr>
          <w:rFonts w:cs="Arial"/>
          <w:iCs/>
          <w:highlight w:val="white"/>
        </w:rPr>
        <w:t>must have’</w:t>
      </w:r>
      <w:r w:rsidRPr="0022149F">
        <w:rPr>
          <w:rFonts w:cs="Arial"/>
          <w:highlight w:val="white"/>
        </w:rPr>
        <w:t xml:space="preserve"> by agreement with all relevant stakeholders, </w:t>
      </w:r>
      <w:r w:rsidR="000C61A7" w:rsidRPr="0022149F">
        <w:rPr>
          <w:rFonts w:cs="Arial"/>
          <w:highlight w:val="white"/>
        </w:rPr>
        <w:t>e.g.</w:t>
      </w:r>
      <w:r w:rsidRPr="0022149F">
        <w:rPr>
          <w:rFonts w:cs="Arial"/>
          <w:highlight w:val="white"/>
        </w:rPr>
        <w:t xml:space="preserve"> when new requirements are deemed more important)</w:t>
      </w:r>
      <w:r w:rsidR="000C61A7">
        <w:rPr>
          <w:rFonts w:cs="Arial"/>
          <w:highlight w:val="white"/>
        </w:rPr>
        <w:t>.</w:t>
      </w:r>
    </w:p>
    <w:p w14:paraId="7C97E748" w14:textId="77777777" w:rsidR="002A4E8E" w:rsidRPr="0022149F" w:rsidRDefault="002A4E8E" w:rsidP="002A4E8E">
      <w:pPr>
        <w:pStyle w:val="BodyText"/>
        <w:ind w:right="-455"/>
        <w:rPr>
          <w:rFonts w:cs="Arial"/>
        </w:rPr>
      </w:pPr>
      <w:r w:rsidRPr="0022149F">
        <w:rPr>
          <w:rFonts w:cs="Arial"/>
        </w:rPr>
        <w:t>The remote monitoring platform must be able to record all the necessary clinical measurements for the chosen clinical pathway(s). As an example, if required to deliver a National Early Warning Score (NEWS) 2 for every patient, the measurements are:</w:t>
      </w:r>
    </w:p>
    <w:p w14:paraId="6A90ACF7" w14:textId="77777777" w:rsidR="002A4E8E" w:rsidRPr="002A4E8E" w:rsidRDefault="002A4E8E" w:rsidP="002A4E8E">
      <w:pPr>
        <w:pStyle w:val="ListBullet"/>
        <w:ind w:right="-455"/>
        <w:rPr>
          <w:highlight w:val="white"/>
        </w:rPr>
      </w:pPr>
      <w:r w:rsidRPr="002A4E8E">
        <w:rPr>
          <w:highlight w:val="white"/>
        </w:rPr>
        <w:t>respiration rate</w:t>
      </w:r>
    </w:p>
    <w:p w14:paraId="4B486AA7" w14:textId="77777777" w:rsidR="002A4E8E" w:rsidRPr="002A4E8E" w:rsidRDefault="002A4E8E" w:rsidP="002A4E8E">
      <w:pPr>
        <w:pStyle w:val="ListBullet"/>
        <w:ind w:right="-455"/>
        <w:rPr>
          <w:highlight w:val="white"/>
        </w:rPr>
      </w:pPr>
      <w:r w:rsidRPr="002A4E8E">
        <w:rPr>
          <w:highlight w:val="white"/>
        </w:rPr>
        <w:t>oxygen saturation</w:t>
      </w:r>
    </w:p>
    <w:p w14:paraId="34306A3A" w14:textId="77777777" w:rsidR="002A4E8E" w:rsidRPr="002A4E8E" w:rsidRDefault="002A4E8E" w:rsidP="002A4E8E">
      <w:pPr>
        <w:pStyle w:val="ListBullet"/>
        <w:ind w:right="-455"/>
        <w:rPr>
          <w:highlight w:val="white"/>
        </w:rPr>
      </w:pPr>
      <w:r w:rsidRPr="002A4E8E">
        <w:rPr>
          <w:highlight w:val="white"/>
        </w:rPr>
        <w:t>systolic blood pressure</w:t>
      </w:r>
    </w:p>
    <w:p w14:paraId="4067F994" w14:textId="77777777" w:rsidR="002A4E8E" w:rsidRPr="002A4E8E" w:rsidRDefault="002A4E8E" w:rsidP="002A4E8E">
      <w:pPr>
        <w:pStyle w:val="ListBullet"/>
        <w:ind w:right="-455"/>
        <w:rPr>
          <w:highlight w:val="white"/>
        </w:rPr>
      </w:pPr>
      <w:r w:rsidRPr="002A4E8E">
        <w:rPr>
          <w:highlight w:val="white"/>
        </w:rPr>
        <w:t>pulse rate</w:t>
      </w:r>
    </w:p>
    <w:p w14:paraId="6FDE79AE" w14:textId="77777777" w:rsidR="002A4E8E" w:rsidRPr="002A4E8E" w:rsidRDefault="002A4E8E" w:rsidP="002A4E8E">
      <w:pPr>
        <w:pStyle w:val="ListBullet"/>
        <w:ind w:right="-455"/>
        <w:rPr>
          <w:highlight w:val="white"/>
        </w:rPr>
      </w:pPr>
      <w:r w:rsidRPr="002A4E8E">
        <w:rPr>
          <w:highlight w:val="white"/>
        </w:rPr>
        <w:t>level of consciousness or new confusion</w:t>
      </w:r>
    </w:p>
    <w:p w14:paraId="44EEFD06" w14:textId="77777777" w:rsidR="002A4E8E" w:rsidRPr="0022149F" w:rsidRDefault="002A4E8E" w:rsidP="002A4E8E">
      <w:pPr>
        <w:pStyle w:val="ListBullet"/>
        <w:spacing w:after="280"/>
        <w:ind w:right="-455"/>
        <w:rPr>
          <w:highlight w:val="white"/>
        </w:rPr>
      </w:pPr>
      <w:r w:rsidRPr="002A4E8E">
        <w:rPr>
          <w:highlight w:val="white"/>
        </w:rPr>
        <w:t>temperature</w:t>
      </w:r>
      <w:r w:rsidRPr="0022149F">
        <w:rPr>
          <w:highlight w:val="white"/>
        </w:rPr>
        <w:t>.</w:t>
      </w:r>
    </w:p>
    <w:p w14:paraId="1F6DAFEA" w14:textId="03373240" w:rsidR="002A4E8E" w:rsidRPr="0022149F" w:rsidRDefault="002A4E8E" w:rsidP="002A4E8E">
      <w:pPr>
        <w:pStyle w:val="BodyText"/>
        <w:ind w:right="-455"/>
        <w:rPr>
          <w:rFonts w:cs="Arial"/>
          <w:highlight w:val="white"/>
        </w:rPr>
      </w:pPr>
      <w:r w:rsidRPr="0022149F">
        <w:rPr>
          <w:rFonts w:cs="Arial"/>
          <w:highlight w:val="white"/>
        </w:rPr>
        <w:t xml:space="preserve">The frequency of monitoring required for your virtual ward service must also be specified. In some </w:t>
      </w:r>
      <w:r w:rsidR="000C61A7" w:rsidRPr="0022149F">
        <w:rPr>
          <w:rFonts w:cs="Arial"/>
          <w:highlight w:val="white"/>
        </w:rPr>
        <w:t>cases,</w:t>
      </w:r>
      <w:r w:rsidRPr="0022149F">
        <w:rPr>
          <w:rFonts w:cs="Arial"/>
          <w:highlight w:val="white"/>
        </w:rPr>
        <w:t xml:space="preserve"> you might require continuous monitoring via wearables</w:t>
      </w:r>
      <w:sdt>
        <w:sdtPr>
          <w:rPr>
            <w:rFonts w:cs="Arial"/>
            <w:color w:val="2B579A"/>
            <w:shd w:val="clear" w:color="auto" w:fill="E6E6E6"/>
          </w:rPr>
          <w:tag w:val="goog_rdk_7"/>
          <w:id w:val="623038997"/>
        </w:sdtPr>
        <w:sdtEndPr/>
        <w:sdtContent>
          <w:r w:rsidRPr="0022149F">
            <w:rPr>
              <w:rFonts w:cs="Arial"/>
            </w:rPr>
            <w:t xml:space="preserve"> – where observations are sent from a wearable device without the patient needing to take these;</w:t>
          </w:r>
        </w:sdtContent>
      </w:sdt>
      <w:r w:rsidRPr="0022149F">
        <w:rPr>
          <w:rFonts w:cs="Arial"/>
          <w:highlight w:val="white"/>
        </w:rPr>
        <w:t xml:space="preserve"> and in others spot monitoring – where the patient takes readings at set times or on an ad-hoc basis. This should be considered as not all technology platform</w:t>
      </w:r>
      <w:sdt>
        <w:sdtPr>
          <w:rPr>
            <w:rFonts w:cs="Arial"/>
            <w:color w:val="2B579A"/>
            <w:shd w:val="clear" w:color="auto" w:fill="E6E6E6"/>
          </w:rPr>
          <w:tag w:val="goog_rdk_8"/>
          <w:id w:val="-835535019"/>
        </w:sdtPr>
        <w:sdtEndPr/>
        <w:sdtContent>
          <w:r w:rsidRPr="0022149F">
            <w:rPr>
              <w:rFonts w:cs="Arial"/>
              <w:highlight w:val="white"/>
            </w:rPr>
            <w:t>s</w:t>
          </w:r>
        </w:sdtContent>
      </w:sdt>
      <w:r w:rsidRPr="0022149F">
        <w:rPr>
          <w:rFonts w:cs="Arial"/>
          <w:highlight w:val="white"/>
        </w:rPr>
        <w:t xml:space="preserve"> support wearables.</w:t>
      </w:r>
    </w:p>
    <w:p w14:paraId="4E026A97" w14:textId="1EB8159C" w:rsidR="002A4E8E" w:rsidRPr="0022149F" w:rsidRDefault="002A4E8E" w:rsidP="002A4E8E">
      <w:pPr>
        <w:pStyle w:val="BodyText"/>
        <w:ind w:right="-455"/>
        <w:rPr>
          <w:rFonts w:cs="Arial"/>
          <w:highlight w:val="white"/>
        </w:rPr>
      </w:pPr>
      <w:r w:rsidRPr="0022149F">
        <w:rPr>
          <w:rFonts w:cs="Arial"/>
          <w:highlight w:val="white"/>
        </w:rPr>
        <w:lastRenderedPageBreak/>
        <w:t xml:space="preserve">A blended model with some spot monitoring and some continuous monitoring via devices may also be appropriate, </w:t>
      </w:r>
      <w:r w:rsidR="000C61A7" w:rsidRPr="0022149F">
        <w:rPr>
          <w:rFonts w:cs="Arial"/>
          <w:highlight w:val="white"/>
        </w:rPr>
        <w:t>e.g.</w:t>
      </w:r>
      <w:r w:rsidRPr="0022149F">
        <w:rPr>
          <w:rFonts w:cs="Arial"/>
          <w:highlight w:val="white"/>
        </w:rPr>
        <w:t xml:space="preserve"> continuous monitoring of oxygen saturation and pulse but once daily recording of blood pressure.</w:t>
      </w:r>
    </w:p>
    <w:p w14:paraId="4DC000BD" w14:textId="6BCCDA5E" w:rsidR="002A4E8E" w:rsidRPr="0022149F" w:rsidRDefault="002A4E8E" w:rsidP="002A4E8E">
      <w:pPr>
        <w:pStyle w:val="BodyText"/>
        <w:ind w:right="-455"/>
        <w:rPr>
          <w:rFonts w:cs="Arial"/>
          <w:highlight w:val="white"/>
        </w:rPr>
      </w:pPr>
      <w:r w:rsidRPr="0022149F">
        <w:rPr>
          <w:rFonts w:cs="Arial"/>
          <w:highlight w:val="white"/>
        </w:rPr>
        <w:t>Depending on their clinical use, remote monitoring devices</w:t>
      </w:r>
      <w:r w:rsidR="00EB0DCA">
        <w:rPr>
          <w:rFonts w:cs="Arial"/>
          <w:highlight w:val="white"/>
        </w:rPr>
        <w:t xml:space="preserve"> </w:t>
      </w:r>
      <w:r w:rsidRPr="0022149F">
        <w:rPr>
          <w:rFonts w:cs="Arial"/>
          <w:highlight w:val="white"/>
        </w:rPr>
        <w:t>/</w:t>
      </w:r>
      <w:r w:rsidR="00EB0DCA">
        <w:rPr>
          <w:rFonts w:cs="Arial"/>
          <w:highlight w:val="white"/>
        </w:rPr>
        <w:t xml:space="preserve"> </w:t>
      </w:r>
      <w:r w:rsidRPr="0022149F">
        <w:rPr>
          <w:rFonts w:cs="Arial"/>
          <w:highlight w:val="white"/>
        </w:rPr>
        <w:t xml:space="preserve">platforms </w:t>
      </w:r>
      <w:r w:rsidR="00EB0DCA">
        <w:rPr>
          <w:rFonts w:cs="Arial"/>
          <w:highlight w:val="white"/>
        </w:rPr>
        <w:t>are likely to</w:t>
      </w:r>
      <w:r w:rsidRPr="0022149F">
        <w:rPr>
          <w:rFonts w:cs="Arial"/>
          <w:highlight w:val="white"/>
        </w:rPr>
        <w:t xml:space="preserve"> be classed as a medical device and require </w:t>
      </w:r>
      <w:r w:rsidRPr="0022149F">
        <w:rPr>
          <w:rFonts w:cs="Arial"/>
          <w:color w:val="auto"/>
          <w:highlight w:val="white"/>
        </w:rPr>
        <w:t>compliance</w:t>
      </w:r>
      <w:r w:rsidR="00EB0DCA">
        <w:rPr>
          <w:rFonts w:cs="Arial"/>
          <w:color w:val="auto"/>
          <w:highlight w:val="white"/>
        </w:rPr>
        <w:t xml:space="preserve"> with the UK Medical Device Regulations</w:t>
      </w:r>
      <w:r w:rsidRPr="0022149F">
        <w:rPr>
          <w:rFonts w:cs="Arial"/>
          <w:highlight w:val="white"/>
        </w:rPr>
        <w:t>. Local clinical engineering</w:t>
      </w:r>
      <w:r w:rsidR="00293883">
        <w:rPr>
          <w:rFonts w:cs="Arial"/>
          <w:highlight w:val="white"/>
        </w:rPr>
        <w:t xml:space="preserve"> </w:t>
      </w:r>
      <w:r w:rsidRPr="0022149F">
        <w:rPr>
          <w:rFonts w:cs="Arial"/>
          <w:highlight w:val="white"/>
        </w:rPr>
        <w:t>/</w:t>
      </w:r>
      <w:r w:rsidR="00293883">
        <w:rPr>
          <w:rFonts w:cs="Arial"/>
          <w:highlight w:val="white"/>
        </w:rPr>
        <w:t xml:space="preserve"> </w:t>
      </w:r>
      <w:r w:rsidRPr="0022149F">
        <w:rPr>
          <w:rFonts w:cs="Arial"/>
          <w:highlight w:val="white"/>
        </w:rPr>
        <w:t>medical device management teams can advise on this</w:t>
      </w:r>
      <w:r w:rsidR="00293883">
        <w:rPr>
          <w:rFonts w:cs="Arial"/>
          <w:highlight w:val="white"/>
        </w:rPr>
        <w:t xml:space="preserve"> and other medical device issues</w:t>
      </w:r>
      <w:r w:rsidRPr="0022149F">
        <w:rPr>
          <w:rFonts w:cs="Arial"/>
          <w:highlight w:val="white"/>
        </w:rPr>
        <w:t xml:space="preserve">. Compliance with the national </w:t>
      </w:r>
      <w:hyperlink r:id="rId24">
        <w:r w:rsidRPr="0022149F">
          <w:rPr>
            <w:rFonts w:cs="Arial"/>
            <w:color w:val="1155CC"/>
            <w:highlight w:val="white"/>
            <w:u w:val="single"/>
          </w:rPr>
          <w:t>Digital Technology Assessment Criteria</w:t>
        </w:r>
      </w:hyperlink>
      <w:r w:rsidRPr="0022149F">
        <w:rPr>
          <w:rFonts w:cs="Arial"/>
          <w:highlight w:val="white"/>
        </w:rPr>
        <w:t xml:space="preserve"> (DTAC) is a ‘must have’ requirement for remote monitoring platform suppliers</w:t>
      </w:r>
      <w:r w:rsidR="00142D88">
        <w:rPr>
          <w:rFonts w:cs="Arial"/>
          <w:highlight w:val="white"/>
        </w:rPr>
        <w:t>,</w:t>
      </w:r>
      <w:r w:rsidRPr="0022149F">
        <w:rPr>
          <w:rFonts w:cs="Arial"/>
          <w:highlight w:val="white"/>
        </w:rPr>
        <w:t xml:space="preserve"> as is the need to meet the</w:t>
      </w:r>
      <w:hyperlink r:id="rId25">
        <w:r w:rsidRPr="0022149F">
          <w:rPr>
            <w:rFonts w:cs="Arial"/>
            <w:color w:val="1155CC"/>
            <w:highlight w:val="white"/>
            <w:u w:val="single"/>
          </w:rPr>
          <w:t xml:space="preserve"> DCB0129 clinical risk management standard</w:t>
        </w:r>
        <w:r w:rsidRPr="0022149F">
          <w:rPr>
            <w:rFonts w:cs="Arial"/>
            <w:color w:val="1155CC"/>
            <w:highlight w:val="white"/>
          </w:rPr>
          <w:t>.</w:t>
        </w:r>
        <w:r w:rsidRPr="0022149F">
          <w:rPr>
            <w:rFonts w:cs="Arial"/>
            <w:color w:val="1155CC"/>
            <w:highlight w:val="white"/>
            <w:u w:val="single"/>
          </w:rPr>
          <w:t xml:space="preserve"> </w:t>
        </w:r>
      </w:hyperlink>
    </w:p>
    <w:p w14:paraId="59E9435A" w14:textId="611B2CAE" w:rsidR="002A4E8E" w:rsidRPr="0022149F" w:rsidRDefault="002A4E8E" w:rsidP="002A4E8E">
      <w:pPr>
        <w:pStyle w:val="BodyText"/>
        <w:ind w:right="-455"/>
        <w:rPr>
          <w:rFonts w:cs="Arial"/>
          <w:highlight w:val="white"/>
        </w:rPr>
      </w:pPr>
      <w:r w:rsidRPr="1F3E6D2F">
        <w:rPr>
          <w:rFonts w:cs="Arial"/>
          <w:highlight w:val="white"/>
        </w:rPr>
        <w:t xml:space="preserve">Interoperability requirements should also be ‘must have’ to enable data flows between relevant systems, </w:t>
      </w:r>
      <w:r w:rsidR="000C61A7" w:rsidRPr="1F3E6D2F">
        <w:rPr>
          <w:rFonts w:cs="Arial"/>
          <w:highlight w:val="white"/>
        </w:rPr>
        <w:t>e.g.</w:t>
      </w:r>
      <w:r w:rsidRPr="1F3E6D2F">
        <w:rPr>
          <w:rFonts w:cs="Arial"/>
          <w:highlight w:val="white"/>
        </w:rPr>
        <w:t xml:space="preserve"> between remote monitoring platforms and Electronic Patient Record (EPR) systems or local shared care record systems. Required compliance with specific data standards, </w:t>
      </w:r>
      <w:r w:rsidR="000C61A7" w:rsidRPr="1F3E6D2F">
        <w:rPr>
          <w:rFonts w:cs="Arial"/>
          <w:highlight w:val="white"/>
        </w:rPr>
        <w:t>e.g.</w:t>
      </w:r>
      <w:r w:rsidRPr="1F3E6D2F">
        <w:rPr>
          <w:rFonts w:cs="Arial"/>
          <w:highlight w:val="white"/>
        </w:rPr>
        <w:t xml:space="preserve"> ICD-10, Read or SNOMED CT, should also be included. </w:t>
      </w:r>
    </w:p>
    <w:p w14:paraId="64C9B4BA" w14:textId="77777777" w:rsidR="002A4E8E" w:rsidRPr="0022149F" w:rsidRDefault="002A4E8E" w:rsidP="002A4E8E">
      <w:pPr>
        <w:pStyle w:val="BodyText"/>
        <w:ind w:right="-455"/>
        <w:rPr>
          <w:rFonts w:cs="Arial"/>
          <w:b/>
          <w:highlight w:val="white"/>
        </w:rPr>
      </w:pPr>
      <w:r w:rsidRPr="0022149F">
        <w:rPr>
          <w:rFonts w:cs="Arial"/>
          <w:highlight w:val="white"/>
        </w:rPr>
        <w:t>Questionnaires such as patient reported outcome measures (PROM), patient reported experience measures (PREM), Friends and Family Test or generalised anxiety disorder assessment (GAD-7 score) may also be a ‘must have’ requirement. Not all systems have the capability to record these so if they are a ‘must have’ requirement it is important to identify them at this stage.</w:t>
      </w:r>
    </w:p>
    <w:p w14:paraId="29272607" w14:textId="77777777" w:rsidR="002A4E8E" w:rsidRPr="00AD1362" w:rsidRDefault="002A4E8E" w:rsidP="002A4E8E">
      <w:pPr>
        <w:pStyle w:val="Heading3"/>
        <w:ind w:right="-455"/>
      </w:pPr>
      <w:bookmarkStart w:id="17" w:name="_heading=h.660b5b7kp9pn"/>
      <w:bookmarkStart w:id="18" w:name="_Toc17636279"/>
      <w:bookmarkStart w:id="19" w:name="_Toc124936837"/>
      <w:bookmarkEnd w:id="17"/>
      <w:r w:rsidRPr="00AD1362">
        <w:t>b. Should have</w:t>
      </w:r>
      <w:bookmarkEnd w:id="18"/>
      <w:bookmarkEnd w:id="19"/>
    </w:p>
    <w:p w14:paraId="5DEAA7F1" w14:textId="77777777" w:rsidR="002A4E8E" w:rsidRPr="0022149F" w:rsidRDefault="002A4E8E" w:rsidP="002A4E8E">
      <w:pPr>
        <w:pStyle w:val="BodyText"/>
        <w:ind w:right="-455"/>
        <w:rPr>
          <w:rFonts w:cs="Arial"/>
          <w:highlight w:val="white"/>
        </w:rPr>
      </w:pPr>
      <w:r w:rsidRPr="0022149F">
        <w:rPr>
          <w:rFonts w:cs="Arial"/>
          <w:highlight w:val="white"/>
        </w:rPr>
        <w:t>‘Should have’ requirements are important but not essential for initial go live. While they can be as important as ‘must have’ requirements, ‘should have’ requirements are often not as time-critical or there may be another way to satisfy them so they can be held back for future development.</w:t>
      </w:r>
    </w:p>
    <w:p w14:paraId="0E39BABF" w14:textId="28FD2B42" w:rsidR="002A4E8E" w:rsidRPr="0022149F" w:rsidRDefault="002A4E8E" w:rsidP="002A4E8E">
      <w:pPr>
        <w:pStyle w:val="BodyText"/>
        <w:ind w:right="-455"/>
        <w:rPr>
          <w:rFonts w:cs="Arial"/>
          <w:highlight w:val="white"/>
        </w:rPr>
      </w:pPr>
      <w:r w:rsidRPr="7F03F8C3">
        <w:rPr>
          <w:rFonts w:cs="Arial"/>
          <w:highlight w:val="white"/>
        </w:rPr>
        <w:t xml:space="preserve">‘Should have’ requirements may include any additional functionality your pathway or ICS digital strategy requires, </w:t>
      </w:r>
      <w:r w:rsidR="000C61A7" w:rsidRPr="7F03F8C3">
        <w:rPr>
          <w:rFonts w:cs="Arial"/>
          <w:highlight w:val="white"/>
        </w:rPr>
        <w:t>e.g.</w:t>
      </w:r>
      <w:r w:rsidR="000C61A7">
        <w:rPr>
          <w:rFonts w:cs="Arial"/>
          <w:highlight w:val="white"/>
        </w:rPr>
        <w:t xml:space="preserve"> </w:t>
      </w:r>
      <w:r w:rsidRPr="7F03F8C3">
        <w:rPr>
          <w:rFonts w:cs="Arial"/>
          <w:highlight w:val="white"/>
        </w:rPr>
        <w:t>integration with:</w:t>
      </w:r>
    </w:p>
    <w:p w14:paraId="57BDDDF8" w14:textId="77777777" w:rsidR="002A4E8E" w:rsidRPr="002A4E8E" w:rsidRDefault="002A4E8E" w:rsidP="002A4E8E">
      <w:pPr>
        <w:pStyle w:val="ListBullet"/>
        <w:ind w:right="-455"/>
        <w:rPr>
          <w:highlight w:val="white"/>
        </w:rPr>
      </w:pPr>
      <w:r w:rsidRPr="002A4E8E">
        <w:rPr>
          <w:highlight w:val="white"/>
        </w:rPr>
        <w:t>spirometers for COPD</w:t>
      </w:r>
    </w:p>
    <w:p w14:paraId="29F94FDB" w14:textId="77777777" w:rsidR="002A4E8E" w:rsidRPr="002A4E8E" w:rsidRDefault="002A4E8E" w:rsidP="002A4E8E">
      <w:pPr>
        <w:pStyle w:val="ListBullet"/>
        <w:ind w:right="-455"/>
        <w:rPr>
          <w:highlight w:val="white"/>
        </w:rPr>
      </w:pPr>
      <w:r w:rsidRPr="002A4E8E">
        <w:rPr>
          <w:highlight w:val="white"/>
        </w:rPr>
        <w:t>scales for heart failure</w:t>
      </w:r>
    </w:p>
    <w:p w14:paraId="51804949" w14:textId="1B45FB79" w:rsidR="0EF67C8D" w:rsidRDefault="002A4E8E" w:rsidP="1B3BCEA9">
      <w:pPr>
        <w:pStyle w:val="ListBullet"/>
        <w:ind w:right="-455"/>
        <w:rPr>
          <w:highlight w:val="white"/>
        </w:rPr>
      </w:pPr>
      <w:r w:rsidRPr="1B3BCEA9">
        <w:rPr>
          <w:highlight w:val="white"/>
        </w:rPr>
        <w:t>ECG recording devices</w:t>
      </w:r>
    </w:p>
    <w:p w14:paraId="12CF7EB4" w14:textId="76FECDFC" w:rsidR="0EF67C8D" w:rsidRDefault="0EF67C8D" w:rsidP="1B3BCEA9">
      <w:pPr>
        <w:pStyle w:val="ListBullet"/>
        <w:ind w:right="-455"/>
        <w:rPr>
          <w:highlight w:val="white"/>
        </w:rPr>
      </w:pPr>
      <w:r>
        <w:t>other Point of Care testing devices.</w:t>
      </w:r>
    </w:p>
    <w:p w14:paraId="36698943" w14:textId="77777777" w:rsidR="002A4E8E" w:rsidRPr="00AD1362" w:rsidRDefault="002A4E8E" w:rsidP="002A4E8E">
      <w:pPr>
        <w:pStyle w:val="Heading3"/>
        <w:ind w:right="-455"/>
      </w:pPr>
      <w:bookmarkStart w:id="20" w:name="_heading=h.yzm92ftu87em"/>
      <w:bookmarkStart w:id="21" w:name="_Toc550436338"/>
      <w:bookmarkStart w:id="22" w:name="_Toc124936838"/>
      <w:bookmarkEnd w:id="20"/>
      <w:r w:rsidRPr="00AD1362">
        <w:lastRenderedPageBreak/>
        <w:t>c. Could have</w:t>
      </w:r>
      <w:bookmarkEnd w:id="21"/>
      <w:bookmarkEnd w:id="22"/>
    </w:p>
    <w:p w14:paraId="09C3AC2E" w14:textId="02EE1298" w:rsidR="002A4E8E" w:rsidRPr="0022149F" w:rsidRDefault="002A4E8E" w:rsidP="00893C39">
      <w:pPr>
        <w:pStyle w:val="BodyText"/>
        <w:ind w:right="-454"/>
        <w:rPr>
          <w:highlight w:val="white"/>
        </w:rPr>
      </w:pPr>
      <w:r w:rsidRPr="02DE7D7E">
        <w:rPr>
          <w:highlight w:val="white"/>
        </w:rPr>
        <w:t>‘Could have’ requirements are desirable but less important than ‘should have’</w:t>
      </w:r>
      <w:r w:rsidRPr="02DE7D7E">
        <w:rPr>
          <w:i/>
          <w:iCs/>
          <w:highlight w:val="white"/>
        </w:rPr>
        <w:t xml:space="preserve"> </w:t>
      </w:r>
      <w:r w:rsidRPr="02DE7D7E">
        <w:rPr>
          <w:highlight w:val="white"/>
        </w:rPr>
        <w:t xml:space="preserve">requirements. These may support the monitoring of specific long-term conditions, rather than the acute exacerbations specified as at the core of the virtual ward’s purpose; that is, useful to have to enable greater benefits but </w:t>
      </w:r>
      <w:r w:rsidR="00FF18AA">
        <w:rPr>
          <w:highlight w:val="white"/>
        </w:rPr>
        <w:t xml:space="preserve">of </w:t>
      </w:r>
      <w:r w:rsidR="00056E97">
        <w:rPr>
          <w:highlight w:val="white"/>
        </w:rPr>
        <w:t>l</w:t>
      </w:r>
      <w:r w:rsidR="00B84D8D">
        <w:rPr>
          <w:highlight w:val="white"/>
        </w:rPr>
        <w:t xml:space="preserve">ower </w:t>
      </w:r>
      <w:r w:rsidR="00FF18AA">
        <w:rPr>
          <w:highlight w:val="white"/>
        </w:rPr>
        <w:t>i</w:t>
      </w:r>
      <w:r w:rsidRPr="02DE7D7E">
        <w:rPr>
          <w:highlight w:val="white"/>
        </w:rPr>
        <w:t>mp</w:t>
      </w:r>
      <w:r w:rsidR="00FF18AA">
        <w:rPr>
          <w:highlight w:val="white"/>
        </w:rPr>
        <w:t>ortance for</w:t>
      </w:r>
      <w:r w:rsidRPr="02DE7D7E">
        <w:rPr>
          <w:highlight w:val="white"/>
        </w:rPr>
        <w:t xml:space="preserve"> virtual ward </w:t>
      </w:r>
      <w:r w:rsidRPr="002A4E8E">
        <w:rPr>
          <w:highlight w:val="white"/>
        </w:rPr>
        <w:t>success</w:t>
      </w:r>
      <w:r w:rsidRPr="02DE7D7E">
        <w:rPr>
          <w:highlight w:val="white"/>
        </w:rPr>
        <w:t xml:space="preserve"> at this time. They can also include things that improve the user experience.</w:t>
      </w:r>
    </w:p>
    <w:p w14:paraId="32B11636" w14:textId="77777777" w:rsidR="002A4E8E" w:rsidRPr="0022149F" w:rsidRDefault="002A4E8E" w:rsidP="002A4E8E">
      <w:pPr>
        <w:pStyle w:val="Heading3"/>
        <w:ind w:right="-455"/>
      </w:pPr>
      <w:bookmarkStart w:id="23" w:name="_Toc1699600348"/>
      <w:bookmarkStart w:id="24" w:name="_Toc124936839"/>
      <w:r w:rsidRPr="1C2A50A1">
        <w:t>d. Won’t have</w:t>
      </w:r>
      <w:bookmarkEnd w:id="23"/>
      <w:bookmarkEnd w:id="24"/>
    </w:p>
    <w:p w14:paraId="57E035E8" w14:textId="77777777" w:rsidR="00F74562" w:rsidRDefault="002A4E8E" w:rsidP="002A4E8E">
      <w:pPr>
        <w:pStyle w:val="BodyText"/>
        <w:ind w:right="-455"/>
        <w:rPr>
          <w:highlight w:val="white"/>
        </w:rPr>
      </w:pPr>
      <w:r w:rsidRPr="0022149F">
        <w:rPr>
          <w:highlight w:val="white"/>
        </w:rPr>
        <w:t>‘Won’t have’ requirements will have been agreed by stakeholders to be the least critical, lowest payback items, or not appropriate currently. They are either dropped or their inclusion reconsidered at a future date</w:t>
      </w:r>
      <w:r w:rsidRPr="009C2CF5">
        <w:rPr>
          <w:bCs/>
          <w:highlight w:val="white"/>
        </w:rPr>
        <w:t xml:space="preserve">. </w:t>
      </w:r>
      <w:r w:rsidRPr="0022149F">
        <w:rPr>
          <w:highlight w:val="white"/>
        </w:rPr>
        <w:t xml:space="preserve">The agreement of ‘won’t haves’ is important to avoid scope creep. </w:t>
      </w:r>
    </w:p>
    <w:p w14:paraId="7B663ECB" w14:textId="77777777" w:rsidR="00E1625A" w:rsidRDefault="00E1625A" w:rsidP="00031516">
      <w:pPr>
        <w:pStyle w:val="Heading1"/>
        <w:ind w:right="-738"/>
      </w:pPr>
      <w:bookmarkStart w:id="25" w:name="_Toc124936861"/>
      <w:bookmarkStart w:id="26" w:name="_Toc125570968"/>
      <w:r>
        <w:br w:type="page"/>
      </w:r>
    </w:p>
    <w:p w14:paraId="1E0A1D11" w14:textId="77777777" w:rsidR="007050C0" w:rsidRPr="002274DB" w:rsidRDefault="007050C0" w:rsidP="007050C0">
      <w:pPr>
        <w:pStyle w:val="Heading1"/>
        <w:spacing w:after="240"/>
        <w:ind w:right="-879"/>
        <w:contextualSpacing w:val="0"/>
      </w:pPr>
      <w:r w:rsidRPr="002274DB">
        <w:lastRenderedPageBreak/>
        <w:t>Appendix 2: Virtual wards guide specification</w:t>
      </w:r>
    </w:p>
    <w:p w14:paraId="04B759B2" w14:textId="3FCAEDF3" w:rsidR="0066212B" w:rsidRPr="0022149F" w:rsidRDefault="0066212B" w:rsidP="0066212B">
      <w:pPr>
        <w:pStyle w:val="BodyText"/>
        <w:ind w:right="-455"/>
        <w:rPr>
          <w:rFonts w:cs="Arial"/>
        </w:rPr>
      </w:pPr>
      <w:bookmarkStart w:id="27" w:name="_Hlk109747686"/>
      <w:r w:rsidRPr="1C2A50A1">
        <w:rPr>
          <w:rFonts w:cs="Arial"/>
        </w:rPr>
        <w:t xml:space="preserve">This </w:t>
      </w:r>
      <w:hyperlink r:id="rId26" w:history="1">
        <w:r w:rsidR="00D5518C" w:rsidRPr="00C24772">
          <w:rPr>
            <w:rStyle w:val="Hyperlink"/>
            <w:highlight w:val="white"/>
          </w:rPr>
          <w:t>‘Virtual wards guide specification’</w:t>
        </w:r>
      </w:hyperlink>
      <w:r>
        <w:rPr>
          <w:rFonts w:cs="Arial"/>
        </w:rPr>
        <w:t>,</w:t>
      </w:r>
      <w:r w:rsidRPr="1C2A50A1">
        <w:rPr>
          <w:rFonts w:cs="Arial"/>
        </w:rPr>
        <w:t xml:space="preserve"> adapted from the London Region </w:t>
      </w:r>
      <w:r>
        <w:rPr>
          <w:rFonts w:cs="Arial"/>
        </w:rPr>
        <w:t>g</w:t>
      </w:r>
      <w:r w:rsidRPr="1C2A50A1">
        <w:rPr>
          <w:rFonts w:cs="Arial"/>
        </w:rPr>
        <w:t xml:space="preserve">uide </w:t>
      </w:r>
      <w:r>
        <w:rPr>
          <w:rFonts w:cs="Arial"/>
        </w:rPr>
        <w:t>s</w:t>
      </w:r>
      <w:r w:rsidRPr="1C2A50A1">
        <w:rPr>
          <w:rFonts w:cs="Arial"/>
        </w:rPr>
        <w:t>pecification</w:t>
      </w:r>
      <w:r>
        <w:rPr>
          <w:rFonts w:cs="Arial"/>
        </w:rPr>
        <w:t>,</w:t>
      </w:r>
      <w:r w:rsidRPr="1C2A50A1">
        <w:rPr>
          <w:rFonts w:cs="Arial"/>
        </w:rPr>
        <w:t xml:space="preserve"> details the minimum requirements for a remote monitoring solution</w:t>
      </w:r>
      <w:r>
        <w:rPr>
          <w:rFonts w:cs="Arial"/>
        </w:rPr>
        <w:t>.</w:t>
      </w:r>
      <w:r w:rsidRPr="1C2A50A1">
        <w:rPr>
          <w:rFonts w:cs="Arial"/>
        </w:rPr>
        <w:t xml:space="preserve"> Given the rapid </w:t>
      </w:r>
      <w:r>
        <w:rPr>
          <w:rFonts w:cs="Arial"/>
        </w:rPr>
        <w:t xml:space="preserve">roll out </w:t>
      </w:r>
      <w:r w:rsidRPr="1C2A50A1">
        <w:rPr>
          <w:rFonts w:cs="Arial"/>
        </w:rPr>
        <w:t xml:space="preserve">of </w:t>
      </w:r>
      <w:r>
        <w:rPr>
          <w:rFonts w:cs="Arial"/>
        </w:rPr>
        <w:t>v</w:t>
      </w:r>
      <w:r w:rsidRPr="1C2A50A1">
        <w:rPr>
          <w:rFonts w:cs="Arial"/>
        </w:rPr>
        <w:t xml:space="preserve">irtual </w:t>
      </w:r>
      <w:r>
        <w:rPr>
          <w:rFonts w:cs="Arial"/>
        </w:rPr>
        <w:t>w</w:t>
      </w:r>
      <w:r w:rsidRPr="1C2A50A1">
        <w:rPr>
          <w:rFonts w:cs="Arial"/>
        </w:rPr>
        <w:t xml:space="preserve">ards across England, </w:t>
      </w:r>
      <w:r>
        <w:rPr>
          <w:rFonts w:cs="Arial"/>
        </w:rPr>
        <w:t>it</w:t>
      </w:r>
      <w:r w:rsidRPr="1C2A50A1">
        <w:rPr>
          <w:rFonts w:cs="Arial"/>
        </w:rPr>
        <w:t xml:space="preserve"> was compiled to support ICSs and providers in upcoming procurement exercises. </w:t>
      </w:r>
      <w:r>
        <w:rPr>
          <w:rFonts w:cs="Arial"/>
        </w:rPr>
        <w:t xml:space="preserve">It </w:t>
      </w:r>
      <w:r w:rsidRPr="1C2A50A1">
        <w:rPr>
          <w:rFonts w:cs="Arial"/>
        </w:rPr>
        <w:t>also support</w:t>
      </w:r>
      <w:r>
        <w:rPr>
          <w:rFonts w:cs="Arial"/>
        </w:rPr>
        <w:t>s</w:t>
      </w:r>
      <w:r w:rsidRPr="1C2A50A1">
        <w:rPr>
          <w:rFonts w:cs="Arial"/>
        </w:rPr>
        <w:t xml:space="preserve"> the longer-term vision for </w:t>
      </w:r>
      <w:r>
        <w:rPr>
          <w:rFonts w:cs="Arial"/>
        </w:rPr>
        <w:t>r</w:t>
      </w:r>
      <w:r w:rsidRPr="1C2A50A1">
        <w:rPr>
          <w:rFonts w:cs="Arial"/>
        </w:rPr>
        <w:t xml:space="preserve">emote </w:t>
      </w:r>
      <w:r>
        <w:rPr>
          <w:rFonts w:cs="Arial"/>
        </w:rPr>
        <w:t>m</w:t>
      </w:r>
      <w:r w:rsidRPr="1C2A50A1">
        <w:rPr>
          <w:rFonts w:cs="Arial"/>
        </w:rPr>
        <w:t xml:space="preserve">onitoring, increased collaboration, and interoperability to improve outcomes and create a genuine </w:t>
      </w:r>
      <w:r>
        <w:rPr>
          <w:rFonts w:cs="Arial"/>
        </w:rPr>
        <w:t>l</w:t>
      </w:r>
      <w:r w:rsidRPr="1C2A50A1">
        <w:rPr>
          <w:rFonts w:cs="Arial"/>
        </w:rPr>
        <w:t xml:space="preserve">earning </w:t>
      </w:r>
      <w:r>
        <w:rPr>
          <w:rFonts w:cs="Arial"/>
        </w:rPr>
        <w:t>h</w:t>
      </w:r>
      <w:r w:rsidRPr="1C2A50A1">
        <w:rPr>
          <w:rFonts w:cs="Arial"/>
        </w:rPr>
        <w:t xml:space="preserve">ealth </w:t>
      </w:r>
      <w:r>
        <w:rPr>
          <w:rFonts w:cs="Arial"/>
        </w:rPr>
        <w:t>s</w:t>
      </w:r>
      <w:r w:rsidRPr="1C2A50A1">
        <w:rPr>
          <w:rFonts w:cs="Arial"/>
        </w:rPr>
        <w:t>ystem based on high-quality and system-wide health data.</w:t>
      </w:r>
    </w:p>
    <w:p w14:paraId="08F8C554" w14:textId="77777777" w:rsidR="0066212B" w:rsidRPr="0022149F" w:rsidRDefault="0066212B" w:rsidP="0066212B">
      <w:pPr>
        <w:pStyle w:val="BodyText"/>
        <w:ind w:right="-455"/>
      </w:pPr>
      <w:r w:rsidRPr="1C2A50A1">
        <w:t>This specification is not mandated by NHS</w:t>
      </w:r>
      <w:r>
        <w:t xml:space="preserve"> </w:t>
      </w:r>
      <w:r w:rsidRPr="1C2A50A1">
        <w:t>E</w:t>
      </w:r>
      <w:r>
        <w:t>ngland</w:t>
      </w:r>
      <w:r w:rsidRPr="1C2A50A1">
        <w:t xml:space="preserve">; it aims to support local ICS/provider teams during procurement exercises and can be tailored to local needs. As the remote monitoring market is in a growth phase, currently no single product can meet all system needs, and this specification should be modified to reflect that. Furthermore, to ensure ICSs/providers </w:t>
      </w:r>
      <w:r>
        <w:t>can</w:t>
      </w:r>
      <w:r w:rsidRPr="1C2A50A1">
        <w:t xml:space="preserve"> procure solutions once the market matures, it may be advantageous at this stage to seek short contracts or contracts with break clauses.</w:t>
      </w:r>
    </w:p>
    <w:bookmarkEnd w:id="27"/>
    <w:p w14:paraId="4AB6E750" w14:textId="11B5D534" w:rsidR="0066212B" w:rsidRDefault="0066212B" w:rsidP="0066212B">
      <w:pPr>
        <w:pStyle w:val="BodyText"/>
        <w:ind w:right="-455"/>
        <w:rPr>
          <w:rFonts w:cs="Arial"/>
        </w:rPr>
      </w:pPr>
      <w:r w:rsidRPr="0022149F">
        <w:rPr>
          <w:rFonts w:cs="Arial"/>
        </w:rPr>
        <w:t>The table</w:t>
      </w:r>
      <w:r w:rsidR="00633413">
        <w:rPr>
          <w:rFonts w:cs="Arial"/>
        </w:rPr>
        <w:t xml:space="preserve">s within the document </w:t>
      </w:r>
      <w:r w:rsidRPr="0022149F">
        <w:rPr>
          <w:rFonts w:cs="Arial"/>
        </w:rPr>
        <w:t xml:space="preserve">present a comprehensive set of requirements for the provision of a range of remote monitoring use cases. </w:t>
      </w:r>
      <w:r w:rsidRPr="1C2A50A1">
        <w:rPr>
          <w:rFonts w:cs="Arial"/>
        </w:rPr>
        <w:t>Th</w:t>
      </w:r>
      <w:r>
        <w:rPr>
          <w:rFonts w:cs="Arial"/>
        </w:rPr>
        <w:t>ey</w:t>
      </w:r>
      <w:r w:rsidRPr="1C2A50A1">
        <w:rPr>
          <w:rFonts w:cs="Arial"/>
        </w:rPr>
        <w:t xml:space="preserve"> include a ‘Guidance’ column to assist suppliers by clarifying which requirements overlap with DTAC. The </w:t>
      </w:r>
      <w:hyperlink r:id="rId27">
        <w:r w:rsidRPr="1C2A50A1">
          <w:rPr>
            <w:rFonts w:cs="Arial"/>
          </w:rPr>
          <w:t>MoSCoW criteria</w:t>
        </w:r>
      </w:hyperlink>
      <w:r w:rsidRPr="1C2A50A1">
        <w:rPr>
          <w:rFonts w:cs="Arial"/>
        </w:rPr>
        <w:t xml:space="preserve"> are suggestions for guidance only, as each provider should assess the criteria locally. However, the ‘must’ criteria indicate the ‘minimum viable product’</w:t>
      </w:r>
      <w:r>
        <w:rPr>
          <w:rFonts w:cs="Arial"/>
        </w:rPr>
        <w:t>.</w:t>
      </w:r>
    </w:p>
    <w:p w14:paraId="56F9BC35" w14:textId="1E3DE0A6" w:rsidR="009F46F5" w:rsidRDefault="0066212B" w:rsidP="009F46F5">
      <w:pPr>
        <w:pStyle w:val="Heading1"/>
        <w:spacing w:line="360" w:lineRule="atLeast"/>
        <w:ind w:right="-737"/>
        <w:rPr>
          <w:rFonts w:eastAsiaTheme="minorHAnsi" w:cstheme="minorBidi"/>
          <w:color w:val="231F20"/>
          <w:sz w:val="24"/>
          <w:szCs w:val="24"/>
          <w:highlight w:val="white"/>
        </w:rPr>
      </w:pPr>
      <w:r w:rsidRPr="007050C0">
        <w:rPr>
          <w:rFonts w:eastAsiaTheme="minorHAnsi" w:cstheme="minorBidi"/>
          <w:color w:val="231F20"/>
          <w:sz w:val="24"/>
          <w:szCs w:val="24"/>
          <w:highlight w:val="white"/>
        </w:rPr>
        <w:t>To access</w:t>
      </w:r>
      <w:r w:rsidR="001E40B9">
        <w:rPr>
          <w:rFonts w:eastAsiaTheme="minorHAnsi" w:cstheme="minorBidi"/>
          <w:color w:val="231F20"/>
          <w:sz w:val="24"/>
          <w:szCs w:val="24"/>
          <w:highlight w:val="white"/>
        </w:rPr>
        <w:t xml:space="preserve"> the ‘</w:t>
      </w:r>
      <w:hyperlink r:id="rId28" w:history="1">
        <w:r w:rsidRPr="00C24772">
          <w:rPr>
            <w:rStyle w:val="Hyperlink"/>
            <w:rFonts w:eastAsiaTheme="minorHAnsi" w:cstheme="minorBidi"/>
            <w:sz w:val="24"/>
            <w:szCs w:val="24"/>
            <w:highlight w:val="white"/>
          </w:rPr>
          <w:t>Virtual wards guide specification’</w:t>
        </w:r>
      </w:hyperlink>
      <w:r w:rsidR="001E40B9">
        <w:rPr>
          <w:rFonts w:eastAsiaTheme="minorHAnsi" w:cstheme="minorBidi"/>
          <w:color w:val="231F20"/>
          <w:sz w:val="24"/>
          <w:szCs w:val="24"/>
          <w:highlight w:val="white"/>
        </w:rPr>
        <w:t xml:space="preserve"> </w:t>
      </w:r>
      <w:r w:rsidRPr="007050C0">
        <w:rPr>
          <w:rFonts w:eastAsiaTheme="minorHAnsi" w:cstheme="minorBidi"/>
          <w:color w:val="231F20"/>
          <w:sz w:val="24"/>
          <w:szCs w:val="24"/>
          <w:highlight w:val="white"/>
        </w:rPr>
        <w:t xml:space="preserve">you will need to be a signed up to the FutureNHS platform and </w:t>
      </w:r>
      <w:r>
        <w:rPr>
          <w:rFonts w:eastAsiaTheme="minorHAnsi" w:cstheme="minorBidi"/>
          <w:color w:val="231F20"/>
          <w:sz w:val="24"/>
          <w:szCs w:val="24"/>
          <w:highlight w:val="white"/>
        </w:rPr>
        <w:t xml:space="preserve">be </w:t>
      </w:r>
      <w:r w:rsidRPr="007050C0">
        <w:rPr>
          <w:rFonts w:eastAsiaTheme="minorHAnsi" w:cstheme="minorBidi"/>
          <w:color w:val="231F20"/>
          <w:sz w:val="24"/>
          <w:szCs w:val="24"/>
          <w:highlight w:val="white"/>
        </w:rPr>
        <w:t>a member of the Innovation Collaborative for digital health workspace. This document is restricted to health and social care members of the Innovation Collaborative workspace only and may not be viewable depending on your membership role.</w:t>
      </w:r>
    </w:p>
    <w:p w14:paraId="0BFB6C50" w14:textId="77777777" w:rsidR="009F46F5" w:rsidRDefault="009F46F5" w:rsidP="009F46F5">
      <w:pPr>
        <w:pStyle w:val="Heading1"/>
        <w:spacing w:line="360" w:lineRule="atLeast"/>
        <w:ind w:right="-737"/>
        <w:rPr>
          <w:rFonts w:eastAsiaTheme="minorHAnsi" w:cstheme="minorBidi"/>
          <w:color w:val="231F20"/>
          <w:sz w:val="24"/>
          <w:szCs w:val="24"/>
          <w:highlight w:val="white"/>
        </w:rPr>
      </w:pPr>
    </w:p>
    <w:p w14:paraId="689A98E5" w14:textId="090DFC6F" w:rsidR="00083341" w:rsidRPr="009F46F5" w:rsidRDefault="009F46F5" w:rsidP="009F46F5">
      <w:pPr>
        <w:pStyle w:val="Heading1"/>
        <w:spacing w:line="360" w:lineRule="atLeast"/>
        <w:ind w:right="-737"/>
        <w:rPr>
          <w:rFonts w:eastAsiaTheme="minorHAnsi" w:cstheme="minorBidi"/>
          <w:color w:val="231F20"/>
          <w:sz w:val="24"/>
          <w:szCs w:val="24"/>
          <w:highlight w:val="white"/>
        </w:rPr>
      </w:pPr>
      <w:r w:rsidRPr="009F46F5">
        <w:rPr>
          <w:rFonts w:eastAsiaTheme="minorHAnsi" w:cstheme="minorBidi"/>
          <w:color w:val="231F20"/>
          <w:sz w:val="24"/>
          <w:szCs w:val="24"/>
          <w:highlight w:val="white"/>
        </w:rPr>
        <w:t xml:space="preserve">These questions should be considered in conjunction with </w:t>
      </w:r>
      <w:hyperlink r:id="rId29" w:history="1">
        <w:r w:rsidRPr="009F46F5">
          <w:rPr>
            <w:rFonts w:eastAsiaTheme="minorHAnsi" w:cstheme="minorBidi"/>
            <w:color w:val="0070C0"/>
            <w:sz w:val="24"/>
            <w:szCs w:val="24"/>
            <w:highlight w:val="white"/>
            <w:u w:val="single"/>
          </w:rPr>
          <w:t>'A guide to setting up technology-enabled virtual wards'</w:t>
        </w:r>
        <w:r w:rsidRPr="009F46F5">
          <w:rPr>
            <w:rFonts w:eastAsiaTheme="minorHAnsi" w:cstheme="minorBidi"/>
            <w:color w:val="231F20"/>
            <w:sz w:val="24"/>
            <w:szCs w:val="24"/>
            <w:highlight w:val="white"/>
          </w:rPr>
          <w:t>.</w:t>
        </w:r>
      </w:hyperlink>
    </w:p>
    <w:p w14:paraId="436827BB" w14:textId="77777777" w:rsidR="009F46F5" w:rsidRDefault="009F46F5">
      <w:pPr>
        <w:rPr>
          <w:rFonts w:eastAsiaTheme="majorEastAsia" w:cstheme="majorBidi"/>
          <w:color w:val="005EB8"/>
          <w:sz w:val="48"/>
          <w:szCs w:val="32"/>
        </w:rPr>
      </w:pPr>
      <w:r>
        <w:br w:type="page"/>
      </w:r>
    </w:p>
    <w:p w14:paraId="745D9D05" w14:textId="73313FC4" w:rsidR="000C1B53" w:rsidRPr="0022149F" w:rsidRDefault="000C1B53" w:rsidP="00031516">
      <w:pPr>
        <w:pStyle w:val="Heading1"/>
        <w:ind w:right="-738"/>
      </w:pPr>
      <w:r>
        <w:lastRenderedPageBreak/>
        <w:t xml:space="preserve">Appendix 3: </w:t>
      </w:r>
      <w:r w:rsidR="000D29E7">
        <w:t>F</w:t>
      </w:r>
      <w:r w:rsidRPr="0022149F">
        <w:t>urther guidance</w:t>
      </w:r>
      <w:bookmarkEnd w:id="25"/>
      <w:bookmarkEnd w:id="26"/>
    </w:p>
    <w:p w14:paraId="465DB649" w14:textId="2A17951A" w:rsidR="000C1B53" w:rsidRPr="0022149F" w:rsidRDefault="000C1B53" w:rsidP="000D29E7">
      <w:pPr>
        <w:pStyle w:val="Heading3"/>
      </w:pPr>
      <w:r w:rsidRPr="0022149F">
        <w:t xml:space="preserve">Virtual </w:t>
      </w:r>
      <w:r w:rsidR="007A696B" w:rsidRPr="0022149F">
        <w:t xml:space="preserve">ward </w:t>
      </w:r>
      <w:r w:rsidR="007A696B">
        <w:t>and</w:t>
      </w:r>
      <w:r w:rsidR="007A696B" w:rsidRPr="0022149F">
        <w:t xml:space="preserve"> remote monitoring </w:t>
      </w:r>
      <w:r w:rsidRPr="0022149F">
        <w:t>specific</w:t>
      </w:r>
    </w:p>
    <w:p w14:paraId="1426F6E6" w14:textId="09C5D3C1" w:rsidR="000C1B53" w:rsidRPr="0022149F" w:rsidRDefault="00DD23FD" w:rsidP="00204A4A">
      <w:pPr>
        <w:pStyle w:val="BodyText"/>
        <w:numPr>
          <w:ilvl w:val="0"/>
          <w:numId w:val="11"/>
        </w:numPr>
        <w:spacing w:after="120"/>
        <w:ind w:right="-455"/>
        <w:rPr>
          <w:rFonts w:cs="Arial"/>
        </w:rPr>
      </w:pPr>
      <w:hyperlink r:id="rId30" w:history="1">
        <w:r w:rsidR="000C1B53" w:rsidRPr="0022149F">
          <w:rPr>
            <w:rStyle w:val="Hyperlink"/>
            <w:rFonts w:cs="Arial"/>
          </w:rPr>
          <w:t>NHS</w:t>
        </w:r>
        <w:r w:rsidR="00942465">
          <w:rPr>
            <w:rStyle w:val="Hyperlink"/>
            <w:rFonts w:cs="Arial"/>
          </w:rPr>
          <w:t xml:space="preserve"> </w:t>
        </w:r>
        <w:r w:rsidR="000C1B53" w:rsidRPr="0022149F">
          <w:rPr>
            <w:rStyle w:val="Hyperlink"/>
            <w:rFonts w:cs="Arial"/>
          </w:rPr>
          <w:t>E</w:t>
        </w:r>
        <w:r w:rsidR="00942465">
          <w:rPr>
            <w:rStyle w:val="Hyperlink"/>
            <w:rFonts w:cs="Arial"/>
          </w:rPr>
          <w:t>ngland</w:t>
        </w:r>
        <w:r w:rsidR="000C1B53" w:rsidRPr="0022149F">
          <w:rPr>
            <w:rStyle w:val="Hyperlink"/>
            <w:rFonts w:cs="Arial"/>
          </w:rPr>
          <w:t xml:space="preserve"> Virtual </w:t>
        </w:r>
        <w:r w:rsidR="000073FC" w:rsidRPr="0022149F">
          <w:rPr>
            <w:rStyle w:val="Hyperlink"/>
            <w:rFonts w:cs="Arial"/>
          </w:rPr>
          <w:t>w</w:t>
        </w:r>
        <w:r w:rsidR="000C1B53" w:rsidRPr="0022149F">
          <w:rPr>
            <w:rStyle w:val="Hyperlink"/>
            <w:rFonts w:cs="Arial"/>
          </w:rPr>
          <w:t>ard resources</w:t>
        </w:r>
      </w:hyperlink>
    </w:p>
    <w:p w14:paraId="6FFCCCF5" w14:textId="79F1ED8D" w:rsidR="003C589C" w:rsidRDefault="003C589C" w:rsidP="00204A4A">
      <w:pPr>
        <w:pStyle w:val="BodyText"/>
        <w:numPr>
          <w:ilvl w:val="0"/>
          <w:numId w:val="11"/>
        </w:numPr>
        <w:spacing w:after="120"/>
        <w:ind w:right="-455"/>
      </w:pPr>
      <w:hyperlink r:id="rId31" w:history="1">
        <w:r w:rsidRPr="003C589C">
          <w:rPr>
            <w:rStyle w:val="Hyperlink"/>
          </w:rPr>
          <w:t>NHS England What is a virtual ward?</w:t>
        </w:r>
      </w:hyperlink>
    </w:p>
    <w:p w14:paraId="7CBFA1CF" w14:textId="7BE3DF5C" w:rsidR="008E1D80" w:rsidRPr="0022149F" w:rsidRDefault="00DD23FD" w:rsidP="00204A4A">
      <w:pPr>
        <w:pStyle w:val="BodyText"/>
        <w:numPr>
          <w:ilvl w:val="0"/>
          <w:numId w:val="11"/>
        </w:numPr>
        <w:spacing w:after="120"/>
        <w:ind w:right="-455"/>
      </w:pPr>
      <w:hyperlink r:id="rId32">
        <w:r w:rsidR="765704D9" w:rsidRPr="1B3BCEA9">
          <w:rPr>
            <w:rStyle w:val="Hyperlink"/>
          </w:rPr>
          <w:t xml:space="preserve">NHS England </w:t>
        </w:r>
        <w:r w:rsidR="00BA6342" w:rsidRPr="1B3BCEA9">
          <w:rPr>
            <w:rStyle w:val="Hyperlink"/>
          </w:rPr>
          <w:t>Guide to setting up technology-enabled virtual wards</w:t>
        </w:r>
      </w:hyperlink>
    </w:p>
    <w:p w14:paraId="74206CBB" w14:textId="55B482AD" w:rsidR="000C1B53" w:rsidRPr="0022149F" w:rsidRDefault="00DD23FD" w:rsidP="00204A4A">
      <w:pPr>
        <w:pStyle w:val="BodyText"/>
        <w:numPr>
          <w:ilvl w:val="0"/>
          <w:numId w:val="11"/>
        </w:numPr>
        <w:spacing w:after="120"/>
        <w:ind w:right="-455"/>
        <w:rPr>
          <w:rFonts w:cs="Arial"/>
        </w:rPr>
      </w:pPr>
      <w:hyperlink r:id="rId33" w:anchor="80998949" w:history="1">
        <w:r w:rsidR="000C1B53" w:rsidRPr="0022149F">
          <w:rPr>
            <w:rStyle w:val="Hyperlink"/>
            <w:rFonts w:cs="Arial"/>
          </w:rPr>
          <w:t xml:space="preserve">NHS Blueprint: Remote </w:t>
        </w:r>
        <w:r w:rsidR="00B4156B" w:rsidRPr="0022149F">
          <w:rPr>
            <w:rStyle w:val="Hyperlink"/>
            <w:rFonts w:cs="Arial"/>
          </w:rPr>
          <w:t>m</w:t>
        </w:r>
        <w:r w:rsidR="000C1B53" w:rsidRPr="0022149F">
          <w:rPr>
            <w:rStyle w:val="Hyperlink"/>
            <w:rFonts w:cs="Arial"/>
          </w:rPr>
          <w:t xml:space="preserve">onitoring of COVID-19 </w:t>
        </w:r>
        <w:r w:rsidR="00B4156B" w:rsidRPr="0022149F">
          <w:rPr>
            <w:rStyle w:val="Hyperlink"/>
            <w:rFonts w:cs="Arial"/>
          </w:rPr>
          <w:t>patients using cloud-based digital solution – primary care (escalated care clinic) and secondary care</w:t>
        </w:r>
      </w:hyperlink>
      <w:r w:rsidR="000C1B53" w:rsidRPr="0022149F">
        <w:rPr>
          <w:rFonts w:cs="Arial"/>
        </w:rPr>
        <w:t xml:space="preserve"> </w:t>
      </w:r>
    </w:p>
    <w:p w14:paraId="1AF83B65" w14:textId="77777777" w:rsidR="000C1B53" w:rsidRPr="0022149F" w:rsidRDefault="000C1B53" w:rsidP="000D29E7">
      <w:pPr>
        <w:pStyle w:val="Heading3"/>
      </w:pPr>
      <w:r w:rsidRPr="0022149F">
        <w:t>Guidance for digital technologies</w:t>
      </w:r>
    </w:p>
    <w:p w14:paraId="400B561A" w14:textId="77777777" w:rsidR="000C1B53" w:rsidRPr="0022149F" w:rsidRDefault="00DD23FD" w:rsidP="00204A4A">
      <w:pPr>
        <w:pStyle w:val="BodyText"/>
        <w:numPr>
          <w:ilvl w:val="0"/>
          <w:numId w:val="11"/>
        </w:numPr>
        <w:spacing w:after="120"/>
        <w:ind w:right="-455"/>
        <w:rPr>
          <w:rFonts w:cs="Arial"/>
        </w:rPr>
      </w:pPr>
      <w:hyperlink r:id="rId34" w:history="1">
        <w:r w:rsidR="000C1B53" w:rsidRPr="0022149F">
          <w:rPr>
            <w:rStyle w:val="Hyperlink"/>
            <w:rFonts w:cs="Arial"/>
          </w:rPr>
          <w:t>DTAC</w:t>
        </w:r>
      </w:hyperlink>
    </w:p>
    <w:p w14:paraId="0DF2F712" w14:textId="77777777" w:rsidR="000C1B53" w:rsidRPr="0022149F" w:rsidRDefault="00DD23FD" w:rsidP="00204A4A">
      <w:pPr>
        <w:pStyle w:val="BodyText"/>
        <w:numPr>
          <w:ilvl w:val="0"/>
          <w:numId w:val="11"/>
        </w:numPr>
        <w:spacing w:after="120"/>
        <w:ind w:right="-455"/>
        <w:rPr>
          <w:rStyle w:val="Hyperlink"/>
          <w:rFonts w:cs="Arial"/>
        </w:rPr>
      </w:pPr>
      <w:hyperlink r:id="rId35" w:history="1">
        <w:r w:rsidR="000C1B53" w:rsidRPr="0022149F">
          <w:rPr>
            <w:rStyle w:val="Hyperlink"/>
            <w:rFonts w:cs="Arial"/>
          </w:rPr>
          <w:t>Health App Assessment Criteria</w:t>
        </w:r>
      </w:hyperlink>
    </w:p>
    <w:p w14:paraId="3CFD15ED" w14:textId="67CEB0B3" w:rsidR="000C1B53" w:rsidRPr="0022149F" w:rsidRDefault="00DD23FD" w:rsidP="00204A4A">
      <w:pPr>
        <w:pStyle w:val="BodyText"/>
        <w:numPr>
          <w:ilvl w:val="0"/>
          <w:numId w:val="11"/>
        </w:numPr>
        <w:spacing w:after="120"/>
        <w:ind w:right="-455"/>
        <w:rPr>
          <w:rFonts w:cs="Arial"/>
        </w:rPr>
      </w:pPr>
      <w:hyperlink r:id="rId36" w:history="1">
        <w:r w:rsidR="000C1B53" w:rsidRPr="0022149F">
          <w:rPr>
            <w:rStyle w:val="Hyperlink"/>
            <w:rFonts w:cs="Arial"/>
          </w:rPr>
          <w:t>MHRA device regulations</w:t>
        </w:r>
      </w:hyperlink>
      <w:r w:rsidR="000C1B53" w:rsidRPr="0022149F">
        <w:rPr>
          <w:rFonts w:cs="Arial"/>
        </w:rPr>
        <w:t xml:space="preserve"> (</w:t>
      </w:r>
      <w:hyperlink r:id="rId37" w:history="1">
        <w:r w:rsidR="00B4156B" w:rsidRPr="0022149F">
          <w:rPr>
            <w:rStyle w:val="Hyperlink"/>
            <w:rFonts w:cs="Arial"/>
          </w:rPr>
          <w:t>s</w:t>
        </w:r>
        <w:r w:rsidR="000C1B53" w:rsidRPr="0022149F">
          <w:rPr>
            <w:rStyle w:val="Hyperlink"/>
            <w:rFonts w:cs="Arial"/>
          </w:rPr>
          <w:t>oftware applications guidance</w:t>
        </w:r>
      </w:hyperlink>
      <w:r w:rsidR="000C1B53" w:rsidRPr="0022149F">
        <w:rPr>
          <w:rFonts w:cs="Arial"/>
        </w:rPr>
        <w:t>)</w:t>
      </w:r>
    </w:p>
    <w:p w14:paraId="543EFB44" w14:textId="7DAF672C" w:rsidR="000C1B53" w:rsidRPr="0022149F" w:rsidRDefault="00DD23FD" w:rsidP="00204A4A">
      <w:pPr>
        <w:pStyle w:val="BodyText"/>
        <w:numPr>
          <w:ilvl w:val="0"/>
          <w:numId w:val="11"/>
        </w:numPr>
        <w:spacing w:after="120"/>
        <w:ind w:right="-455"/>
        <w:rPr>
          <w:rFonts w:cs="Arial"/>
        </w:rPr>
      </w:pPr>
      <w:hyperlink r:id="rId38" w:history="1">
        <w:r w:rsidR="000C1B53" w:rsidRPr="0022149F">
          <w:rPr>
            <w:rStyle w:val="Hyperlink"/>
            <w:rFonts w:cs="Arial"/>
          </w:rPr>
          <w:t>NHS</w:t>
        </w:r>
        <w:r w:rsidR="00B4156B">
          <w:rPr>
            <w:rStyle w:val="Hyperlink"/>
            <w:rFonts w:cs="Arial"/>
          </w:rPr>
          <w:t xml:space="preserve"> </w:t>
        </w:r>
        <w:r w:rsidR="000C1B53" w:rsidRPr="0022149F">
          <w:rPr>
            <w:rStyle w:val="Hyperlink"/>
            <w:rFonts w:cs="Arial"/>
          </w:rPr>
          <w:t>E</w:t>
        </w:r>
        <w:r w:rsidR="00B4156B">
          <w:rPr>
            <w:rStyle w:val="Hyperlink"/>
            <w:rFonts w:cs="Arial"/>
          </w:rPr>
          <w:t>ngland</w:t>
        </w:r>
        <w:r w:rsidR="000C1B53" w:rsidRPr="0022149F">
          <w:rPr>
            <w:rStyle w:val="Hyperlink"/>
            <w:rFonts w:cs="Arial"/>
          </w:rPr>
          <w:t xml:space="preserve"> Architecture </w:t>
        </w:r>
        <w:r w:rsidR="00B4156B">
          <w:rPr>
            <w:rStyle w:val="Hyperlink"/>
            <w:rFonts w:cs="Arial"/>
          </w:rPr>
          <w:t>p</w:t>
        </w:r>
        <w:r w:rsidR="000C1B53" w:rsidRPr="0022149F">
          <w:rPr>
            <w:rStyle w:val="Hyperlink"/>
            <w:rFonts w:cs="Arial"/>
          </w:rPr>
          <w:t>rinciples</w:t>
        </w:r>
      </w:hyperlink>
    </w:p>
    <w:p w14:paraId="0F3A3533" w14:textId="6F6F53B9" w:rsidR="000C1B53" w:rsidRPr="003C589C" w:rsidRDefault="003C589C" w:rsidP="00204A4A">
      <w:pPr>
        <w:pStyle w:val="BodyText"/>
        <w:numPr>
          <w:ilvl w:val="0"/>
          <w:numId w:val="11"/>
        </w:numPr>
        <w:spacing w:after="120"/>
        <w:ind w:right="-455"/>
        <w:rPr>
          <w:rStyle w:val="Hyperlink"/>
          <w:rFonts w:cs="Arial"/>
        </w:rPr>
      </w:pPr>
      <w:r>
        <w:rPr>
          <w:rFonts w:cs="Arial"/>
        </w:rPr>
        <w:fldChar w:fldCharType="begin"/>
      </w:r>
      <w:r>
        <w:rPr>
          <w:rFonts w:cs="Arial"/>
        </w:rPr>
        <w:instrText>HYPERLINK "https://www.gov.uk/government/publications/code-of-conduct-for-data-driven-health-and-care-technology/initial-code-of-conduct-for-data-driven-health-and-care-technology"</w:instrText>
      </w:r>
      <w:r>
        <w:rPr>
          <w:rFonts w:cs="Arial"/>
        </w:rPr>
      </w:r>
      <w:r>
        <w:rPr>
          <w:rFonts w:cs="Arial"/>
        </w:rPr>
        <w:fldChar w:fldCharType="separate"/>
      </w:r>
      <w:r w:rsidR="000C1B53" w:rsidRPr="003C589C">
        <w:rPr>
          <w:rStyle w:val="Hyperlink"/>
          <w:rFonts w:cs="Arial"/>
        </w:rPr>
        <w:t xml:space="preserve">Best practice guidance for data-driven and healthcare technologies  </w:t>
      </w:r>
    </w:p>
    <w:p w14:paraId="4717A2AB" w14:textId="7129ADDD" w:rsidR="000C1B53" w:rsidRPr="0022149F" w:rsidRDefault="003C589C" w:rsidP="00204A4A">
      <w:pPr>
        <w:pStyle w:val="BodyText"/>
        <w:numPr>
          <w:ilvl w:val="0"/>
          <w:numId w:val="11"/>
        </w:numPr>
        <w:spacing w:after="120"/>
        <w:ind w:right="-455"/>
        <w:rPr>
          <w:rFonts w:cs="Arial"/>
        </w:rPr>
      </w:pPr>
      <w:r>
        <w:rPr>
          <w:rFonts w:cs="Arial"/>
        </w:rPr>
        <w:fldChar w:fldCharType="end"/>
      </w:r>
      <w:hyperlink r:id="rId39" w:history="1">
        <w:r w:rsidR="000C1B53" w:rsidRPr="0022149F">
          <w:rPr>
            <w:rStyle w:val="Hyperlink"/>
            <w:rFonts w:cs="Arial"/>
          </w:rPr>
          <w:t xml:space="preserve">Government Design </w:t>
        </w:r>
        <w:r w:rsidR="00B4156B" w:rsidRPr="0022149F">
          <w:rPr>
            <w:rStyle w:val="Hyperlink"/>
            <w:rFonts w:cs="Arial"/>
          </w:rPr>
          <w:t>p</w:t>
        </w:r>
        <w:r w:rsidR="000C1B53" w:rsidRPr="0022149F">
          <w:rPr>
            <w:rStyle w:val="Hyperlink"/>
            <w:rFonts w:cs="Arial"/>
          </w:rPr>
          <w:t>rinciples</w:t>
        </w:r>
      </w:hyperlink>
    </w:p>
    <w:p w14:paraId="70C85C59" w14:textId="08D54498" w:rsidR="000C1B53" w:rsidRPr="0022149F" w:rsidRDefault="00DD23FD" w:rsidP="00204A4A">
      <w:pPr>
        <w:pStyle w:val="BodyText"/>
        <w:numPr>
          <w:ilvl w:val="0"/>
          <w:numId w:val="11"/>
        </w:numPr>
        <w:spacing w:after="120"/>
        <w:ind w:right="-455"/>
        <w:rPr>
          <w:rFonts w:cs="Arial"/>
        </w:rPr>
      </w:pPr>
      <w:hyperlink r:id="rId40" w:history="1">
        <w:r w:rsidR="000C1B53" w:rsidRPr="0022149F">
          <w:rPr>
            <w:rStyle w:val="Hyperlink"/>
            <w:rFonts w:cs="Arial"/>
          </w:rPr>
          <w:t xml:space="preserve">HFMA Digital </w:t>
        </w:r>
        <w:r w:rsidR="00B4156B" w:rsidRPr="0022149F">
          <w:rPr>
            <w:rStyle w:val="Hyperlink"/>
            <w:rFonts w:cs="Arial"/>
          </w:rPr>
          <w:t>technology resources m</w:t>
        </w:r>
        <w:r w:rsidR="000C1B53" w:rsidRPr="0022149F">
          <w:rPr>
            <w:rStyle w:val="Hyperlink"/>
            <w:rFonts w:cs="Arial"/>
          </w:rPr>
          <w:t>ap</w:t>
        </w:r>
      </w:hyperlink>
    </w:p>
    <w:p w14:paraId="518BC78E" w14:textId="45418BC8" w:rsidR="000C1B53" w:rsidRPr="0022149F" w:rsidRDefault="00DD23FD" w:rsidP="00204A4A">
      <w:pPr>
        <w:pStyle w:val="BodyText"/>
        <w:numPr>
          <w:ilvl w:val="0"/>
          <w:numId w:val="11"/>
        </w:numPr>
        <w:spacing w:after="120"/>
        <w:ind w:right="-455"/>
        <w:rPr>
          <w:rFonts w:cs="Arial"/>
        </w:rPr>
      </w:pPr>
      <w:hyperlink r:id="rId41" w:history="1">
        <w:r w:rsidR="000C1B53" w:rsidRPr="0022149F">
          <w:rPr>
            <w:rStyle w:val="Hyperlink"/>
            <w:rFonts w:cs="Arial"/>
          </w:rPr>
          <w:t xml:space="preserve">Digital </w:t>
        </w:r>
        <w:r w:rsidR="00B4156B" w:rsidRPr="0022149F">
          <w:rPr>
            <w:rStyle w:val="Hyperlink"/>
            <w:rFonts w:cs="Arial"/>
          </w:rPr>
          <w:t>clinical safety strate</w:t>
        </w:r>
        <w:r w:rsidR="000C1B53" w:rsidRPr="0022149F">
          <w:rPr>
            <w:rStyle w:val="Hyperlink"/>
            <w:rFonts w:cs="Arial"/>
          </w:rPr>
          <w:t>gy</w:t>
        </w:r>
      </w:hyperlink>
    </w:p>
    <w:p w14:paraId="7A736AEC" w14:textId="7356272D" w:rsidR="000C1B53" w:rsidRPr="0022149F" w:rsidRDefault="000C1B53" w:rsidP="000D29E7">
      <w:pPr>
        <w:pStyle w:val="Heading3"/>
      </w:pPr>
      <w:r w:rsidRPr="0022149F">
        <w:t xml:space="preserve">Data </w:t>
      </w:r>
      <w:r w:rsidR="008675E6">
        <w:t>and</w:t>
      </w:r>
      <w:r w:rsidRPr="0022149F">
        <w:t xml:space="preserve"> </w:t>
      </w:r>
      <w:r w:rsidR="008675E6">
        <w:t>i</w:t>
      </w:r>
      <w:r w:rsidRPr="0022149F">
        <w:t>nteroperability</w:t>
      </w:r>
    </w:p>
    <w:p w14:paraId="38D9E5DB" w14:textId="09CF9018" w:rsidR="000C1B53" w:rsidRPr="0022149F" w:rsidRDefault="00DD23FD" w:rsidP="00204A4A">
      <w:pPr>
        <w:pStyle w:val="BodyText"/>
        <w:numPr>
          <w:ilvl w:val="0"/>
          <w:numId w:val="11"/>
        </w:numPr>
        <w:spacing w:after="120"/>
        <w:ind w:right="-455"/>
        <w:rPr>
          <w:rFonts w:cs="Arial"/>
        </w:rPr>
      </w:pPr>
      <w:hyperlink r:id="rId42" w:history="1">
        <w:r w:rsidR="000C1B53" w:rsidRPr="0022149F">
          <w:rPr>
            <w:rStyle w:val="Hyperlink"/>
            <w:rFonts w:cs="Arial"/>
          </w:rPr>
          <w:t xml:space="preserve">Data </w:t>
        </w:r>
        <w:r w:rsidR="00B4156B" w:rsidRPr="0022149F">
          <w:rPr>
            <w:rStyle w:val="Hyperlink"/>
            <w:rFonts w:cs="Arial"/>
          </w:rPr>
          <w:t>saves lives</w:t>
        </w:r>
      </w:hyperlink>
    </w:p>
    <w:p w14:paraId="1A53E1CC" w14:textId="298102DD" w:rsidR="000C1B53" w:rsidRPr="003C589C" w:rsidRDefault="003C589C" w:rsidP="00204A4A">
      <w:pPr>
        <w:pStyle w:val="BodyText"/>
        <w:numPr>
          <w:ilvl w:val="0"/>
          <w:numId w:val="11"/>
        </w:numPr>
        <w:spacing w:after="120"/>
        <w:ind w:right="-455"/>
        <w:rPr>
          <w:rStyle w:val="Hyperlink"/>
          <w:rFonts w:cs="Arial"/>
        </w:rPr>
      </w:pPr>
      <w:r>
        <w:rPr>
          <w:rFonts w:cs="Arial"/>
        </w:rPr>
        <w:fldChar w:fldCharType="begin"/>
      </w:r>
      <w:r>
        <w:rPr>
          <w:rFonts w:cs="Arial"/>
        </w:rPr>
        <w:instrText>HYPERLINK "https://www.england.nhs.uk/digitaltechnology/connecteddigitalsystems/interoperability/"</w:instrText>
      </w:r>
      <w:r>
        <w:rPr>
          <w:rFonts w:cs="Arial"/>
        </w:rPr>
      </w:r>
      <w:r>
        <w:rPr>
          <w:rFonts w:cs="Arial"/>
        </w:rPr>
        <w:fldChar w:fldCharType="separate"/>
      </w:r>
      <w:r w:rsidR="000C1B53" w:rsidRPr="003C589C">
        <w:rPr>
          <w:rStyle w:val="Hyperlink"/>
          <w:rFonts w:cs="Arial"/>
        </w:rPr>
        <w:t>Interoperability Standards (Draft)</w:t>
      </w:r>
    </w:p>
    <w:p w14:paraId="1F09FD6B" w14:textId="49691475" w:rsidR="000C1B53" w:rsidRPr="0022149F" w:rsidRDefault="003C589C" w:rsidP="000D29E7">
      <w:pPr>
        <w:pStyle w:val="Heading3"/>
      </w:pPr>
      <w:r>
        <w:rPr>
          <w:rFonts w:eastAsiaTheme="minorHAnsi" w:cs="Arial"/>
          <w:b w:val="0"/>
          <w:sz w:val="24"/>
        </w:rPr>
        <w:fldChar w:fldCharType="end"/>
      </w:r>
      <w:r w:rsidR="000C1B53" w:rsidRPr="0022149F">
        <w:t>Procurement</w:t>
      </w:r>
    </w:p>
    <w:p w14:paraId="5D4BAF16" w14:textId="5FAA194E" w:rsidR="000C1B53" w:rsidRPr="0022149F" w:rsidRDefault="00DD23FD" w:rsidP="00204A4A">
      <w:pPr>
        <w:pStyle w:val="BodyText"/>
        <w:numPr>
          <w:ilvl w:val="0"/>
          <w:numId w:val="11"/>
        </w:numPr>
        <w:spacing w:after="120"/>
        <w:ind w:right="-455"/>
        <w:rPr>
          <w:rFonts w:cs="Arial"/>
        </w:rPr>
      </w:pPr>
      <w:hyperlink r:id="rId43" w:anchor="pillar-descriptions" w:history="1">
        <w:r w:rsidR="000C1B53" w:rsidRPr="0022149F">
          <w:rPr>
            <w:rStyle w:val="Hyperlink"/>
            <w:rFonts w:cs="Arial"/>
          </w:rPr>
          <w:t xml:space="preserve">Procurement </w:t>
        </w:r>
        <w:r w:rsidR="00B4156B" w:rsidRPr="0022149F">
          <w:rPr>
            <w:rStyle w:val="Hyperlink"/>
            <w:rFonts w:cs="Arial"/>
          </w:rPr>
          <w:t>framework strategy reco</w:t>
        </w:r>
        <w:r w:rsidR="000C1B53" w:rsidRPr="0022149F">
          <w:rPr>
            <w:rStyle w:val="Hyperlink"/>
            <w:rFonts w:cs="Arial"/>
          </w:rPr>
          <w:t>mmendations</w:t>
        </w:r>
      </w:hyperlink>
    </w:p>
    <w:p w14:paraId="0B4A8058" w14:textId="6B0B050D" w:rsidR="000C1B53" w:rsidRPr="0022149F" w:rsidRDefault="00DD23FD" w:rsidP="00204A4A">
      <w:pPr>
        <w:pStyle w:val="BodyText"/>
        <w:numPr>
          <w:ilvl w:val="0"/>
          <w:numId w:val="10"/>
        </w:numPr>
        <w:spacing w:after="120"/>
        <w:ind w:right="-455"/>
        <w:rPr>
          <w:rFonts w:cs="Arial"/>
        </w:rPr>
      </w:pPr>
      <w:hyperlink r:id="rId44">
        <w:r w:rsidR="000C1B53" w:rsidRPr="1B3BCEA9">
          <w:rPr>
            <w:rStyle w:val="Hyperlink"/>
            <w:rFonts w:cs="Arial"/>
          </w:rPr>
          <w:t xml:space="preserve">NHS </w:t>
        </w:r>
        <w:r w:rsidR="00B4156B" w:rsidRPr="1B3BCEA9">
          <w:rPr>
            <w:rStyle w:val="Hyperlink"/>
            <w:rFonts w:cs="Arial"/>
          </w:rPr>
          <w:t>service st</w:t>
        </w:r>
        <w:r w:rsidR="000C1B53" w:rsidRPr="1B3BCEA9">
          <w:rPr>
            <w:rStyle w:val="Hyperlink"/>
            <w:rFonts w:cs="Arial"/>
          </w:rPr>
          <w:t>andard</w:t>
        </w:r>
      </w:hyperlink>
    </w:p>
    <w:p w14:paraId="6F3F35EF" w14:textId="2B833ECE" w:rsidR="005E4CF5" w:rsidRPr="00991A82" w:rsidRDefault="005E4CF5" w:rsidP="1B3BCEA9">
      <w:pPr>
        <w:pStyle w:val="BodyText"/>
        <w:spacing w:after="120"/>
        <w:ind w:right="-455"/>
        <w:rPr>
          <w:rFonts w:cs="Arial"/>
        </w:rPr>
      </w:pPr>
    </w:p>
    <w:p w14:paraId="48BC5EA9" w14:textId="312AD737" w:rsidR="005E4CF5" w:rsidRPr="00991A82" w:rsidRDefault="005E4CF5" w:rsidP="1B3BCEA9">
      <w:pPr>
        <w:pStyle w:val="BodyText"/>
        <w:spacing w:after="120"/>
        <w:ind w:right="-455"/>
        <w:rPr>
          <w:rFonts w:cs="Arial"/>
        </w:rPr>
      </w:pPr>
    </w:p>
    <w:p w14:paraId="347A6208" w14:textId="367F48E0" w:rsidR="005E4CF5" w:rsidRPr="00991A82" w:rsidRDefault="005E4CF5" w:rsidP="1B3BCEA9">
      <w:pPr>
        <w:pStyle w:val="BodyText"/>
        <w:spacing w:after="120"/>
        <w:ind w:right="-455"/>
        <w:rPr>
          <w:rFonts w:cs="Arial"/>
        </w:rPr>
      </w:pPr>
    </w:p>
    <w:p w14:paraId="59E174AD" w14:textId="078E675D" w:rsidR="005E4CF5" w:rsidRPr="00991A82" w:rsidRDefault="005E4CF5" w:rsidP="1B3BCEA9">
      <w:pPr>
        <w:pStyle w:val="BodyText"/>
        <w:spacing w:after="120"/>
        <w:ind w:right="-455"/>
        <w:rPr>
          <w:rFonts w:cs="Arial"/>
        </w:rPr>
      </w:pPr>
    </w:p>
    <w:p w14:paraId="2E702ACC" w14:textId="1FE32368" w:rsidR="005E4CF5" w:rsidRPr="00991A82" w:rsidRDefault="005E4CF5" w:rsidP="1B3BCEA9">
      <w:pPr>
        <w:pStyle w:val="BodyText"/>
      </w:pPr>
    </w:p>
    <w:p w14:paraId="51C95471" w14:textId="66FE945F" w:rsidR="005E4CF5" w:rsidRPr="00991A82" w:rsidRDefault="005E4CF5" w:rsidP="1B3BCEA9">
      <w:pPr>
        <w:pStyle w:val="BodyText"/>
      </w:pPr>
    </w:p>
    <w:p w14:paraId="79E7935E" w14:textId="3412967F" w:rsidR="1B3BCEA9" w:rsidRDefault="00393603" w:rsidP="1B3BCEA9">
      <w:pPr>
        <w:pStyle w:val="BodyText"/>
      </w:pPr>
      <w:r>
        <w:rPr>
          <w:noProof/>
        </w:rPr>
        <mc:AlternateContent>
          <mc:Choice Requires="wps">
            <w:drawing>
              <wp:inline distT="0" distB="0" distL="114300" distR="114300" wp14:anchorId="48245496" wp14:editId="16B8ADAC">
                <wp:extent cx="5652135" cy="3867444"/>
                <wp:effectExtent l="0" t="0" r="5715" b="0"/>
                <wp:docPr id="274888357" name="back_page_holder"/>
                <wp:cNvGraphicFramePr/>
                <a:graphic xmlns:a="http://schemas.openxmlformats.org/drawingml/2006/main">
                  <a:graphicData uri="http://schemas.microsoft.com/office/word/2010/wordprocessingShape">
                    <wps:wsp>
                      <wps:cNvSpPr/>
                      <wps:spPr>
                        <a:xfrm>
                          <a:off x="0" y="0"/>
                          <a:ext cx="5652135" cy="3867444"/>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4EBAE" w14:textId="77777777" w:rsidR="00393603" w:rsidRDefault="00393603" w:rsidP="00393603"/>
                          <w:tbl>
                            <w:tblPr>
                              <w:tblStyle w:val="TableGrid"/>
                              <w:tblW w:w="0" w:type="auto"/>
                              <w:tblBorders>
                                <w:insideH w:val="single" w:sz="8" w:space="0" w:color="005EB8"/>
                              </w:tblBorders>
                              <w:tblLook w:val="04A0" w:firstRow="1" w:lastRow="0" w:firstColumn="1" w:lastColumn="0" w:noHBand="0" w:noVBand="1"/>
                            </w:tblPr>
                            <w:tblGrid>
                              <w:gridCol w:w="8185"/>
                            </w:tblGrid>
                            <w:tr w:rsidR="00393603" w:rsidRPr="00AB508B" w14:paraId="4316FD76" w14:textId="77777777" w:rsidTr="00113933">
                              <w:trPr>
                                <w:trHeight w:val="4140"/>
                              </w:trPr>
                              <w:tc>
                                <w:tcPr>
                                  <w:tcW w:w="10040" w:type="dxa"/>
                                  <w:tcMar>
                                    <w:bottom w:w="1134" w:type="dxa"/>
                                  </w:tcMar>
                                  <w:vAlign w:val="bottom"/>
                                </w:tcPr>
                                <w:p w14:paraId="22622ED4" w14:textId="77777777" w:rsidR="00393603" w:rsidRDefault="00393603" w:rsidP="00747FE5">
                                  <w:pPr>
                                    <w:pStyle w:val="BackPage"/>
                                  </w:pPr>
                                  <w:r>
                                    <w:t>NHS England</w:t>
                                  </w:r>
                                </w:p>
                                <w:p w14:paraId="2BAB52D5" w14:textId="77777777" w:rsidR="00393603" w:rsidRDefault="00393603" w:rsidP="00747FE5">
                                  <w:pPr>
                                    <w:pStyle w:val="BackPage"/>
                                  </w:pPr>
                                  <w:r>
                                    <w:t>Wellington House</w:t>
                                  </w:r>
                                </w:p>
                                <w:p w14:paraId="66958AB8" w14:textId="77777777" w:rsidR="00393603" w:rsidRDefault="00393603" w:rsidP="00747FE5">
                                  <w:pPr>
                                    <w:pStyle w:val="BackPage"/>
                                  </w:pPr>
                                  <w:r>
                                    <w:t>133-155 Waterloo Road</w:t>
                                  </w:r>
                                </w:p>
                                <w:p w14:paraId="11F7B0C7" w14:textId="77777777" w:rsidR="00393603" w:rsidRDefault="00393603" w:rsidP="00747FE5">
                                  <w:pPr>
                                    <w:pStyle w:val="BackPage"/>
                                  </w:pPr>
                                  <w:r>
                                    <w:t>London</w:t>
                                  </w:r>
                                </w:p>
                                <w:p w14:paraId="66458667" w14:textId="77777777" w:rsidR="00393603" w:rsidRDefault="00393603" w:rsidP="00747FE5">
                                  <w:pPr>
                                    <w:pStyle w:val="BackPage"/>
                                  </w:pPr>
                                  <w:r>
                                    <w:t>SE1 8UG</w:t>
                                  </w:r>
                                </w:p>
                                <w:p w14:paraId="1441FB88" w14:textId="77777777" w:rsidR="00393603" w:rsidRDefault="00393603" w:rsidP="00747FE5">
                                  <w:pPr>
                                    <w:pStyle w:val="BackPage"/>
                                  </w:pPr>
                                </w:p>
                                <w:p w14:paraId="425B4947" w14:textId="77777777" w:rsidR="00393603" w:rsidRPr="00AB508B" w:rsidRDefault="00393603" w:rsidP="00747FE5">
                                  <w:pPr>
                                    <w:pStyle w:val="BackPage"/>
                                  </w:pPr>
                                  <w:r>
                                    <w:t>This publication can be made available in a number of alternative formats on request.</w:t>
                                  </w:r>
                                </w:p>
                              </w:tc>
                            </w:tr>
                            <w:tr w:rsidR="00393603" w:rsidRPr="00AB508B" w14:paraId="67BAAD9C" w14:textId="77777777" w:rsidTr="00113933">
                              <w:trPr>
                                <w:trHeight w:val="567"/>
                              </w:trPr>
                              <w:tc>
                                <w:tcPr>
                                  <w:tcW w:w="10040" w:type="dxa"/>
                                  <w:vAlign w:val="bottom"/>
                                </w:tcPr>
                                <w:p w14:paraId="64067B72" w14:textId="77777777" w:rsidR="00393603" w:rsidRPr="00AB508B" w:rsidRDefault="00393603" w:rsidP="00AB508B">
                                  <w:pPr>
                                    <w:pStyle w:val="BackPage"/>
                                  </w:pPr>
                                  <w:r w:rsidRPr="00334DA2">
                                    <w:t>© NHS England 2023  |  PR1383</w:t>
                                  </w:r>
                                </w:p>
                              </w:tc>
                            </w:tr>
                          </w:tbl>
                          <w:p w14:paraId="7FA33AC5" w14:textId="77777777" w:rsidR="00393603" w:rsidRPr="000F0D5C" w:rsidRDefault="00393603" w:rsidP="00393603">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inline>
            </w:drawing>
          </mc:Choice>
          <mc:Fallback>
            <w:pict>
              <v:rect w14:anchorId="48245496" id="back_page_holder" o:spid="_x0000_s1026" style="width:445.05pt;height:3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" stroked="f" strokeweight="1pt">
                <v:textbox inset="10mm,,,9mm">
                  <w:txbxContent>
                    <w:p w14:paraId="2BD4EBAE" w14:textId="77777777" w:rsidR="00393603" w:rsidRDefault="00393603" w:rsidP="00393603"/>
                    <w:tbl>
                      <w:tblPr>
                        <w:tblStyle w:val="TableGrid"/>
                        <w:tblW w:w="0" w:type="auto"/>
                        <w:tblBorders>
                          <w:insideH w:val="single" w:sz="8" w:space="0" w:color="005EB8"/>
                        </w:tblBorders>
                        <w:tblLook w:val="04A0" w:firstRow="1" w:lastRow="0" w:firstColumn="1" w:lastColumn="0" w:noHBand="0" w:noVBand="1"/>
                      </w:tblPr>
                      <w:tblGrid>
                        <w:gridCol w:w="8185"/>
                      </w:tblGrid>
                      <w:tr w:rsidR="00393603" w:rsidRPr="00AB508B" w14:paraId="4316FD76" w14:textId="77777777" w:rsidTr="00113933">
                        <w:trPr>
                          <w:trHeight w:val="4140"/>
                        </w:trPr>
                        <w:tc>
                          <w:tcPr>
                            <w:tcW w:w="10040" w:type="dxa"/>
                            <w:tcMar>
                              <w:bottom w:w="1134" w:type="dxa"/>
                            </w:tcMar>
                            <w:vAlign w:val="bottom"/>
                          </w:tcPr>
                          <w:p w14:paraId="22622ED4" w14:textId="77777777" w:rsidR="00393603" w:rsidRDefault="00393603" w:rsidP="00747FE5">
                            <w:pPr>
                              <w:pStyle w:val="BackPage"/>
                            </w:pPr>
                            <w:r>
                              <w:t>NHS England</w:t>
                            </w:r>
                          </w:p>
                          <w:p w14:paraId="2BAB52D5" w14:textId="77777777" w:rsidR="00393603" w:rsidRDefault="00393603" w:rsidP="00747FE5">
                            <w:pPr>
                              <w:pStyle w:val="BackPage"/>
                            </w:pPr>
                            <w:r>
                              <w:t>Wellington House</w:t>
                            </w:r>
                          </w:p>
                          <w:p w14:paraId="66958AB8" w14:textId="77777777" w:rsidR="00393603" w:rsidRDefault="00393603" w:rsidP="00747FE5">
                            <w:pPr>
                              <w:pStyle w:val="BackPage"/>
                            </w:pPr>
                            <w:r>
                              <w:t>133-155 Waterloo Road</w:t>
                            </w:r>
                          </w:p>
                          <w:p w14:paraId="11F7B0C7" w14:textId="77777777" w:rsidR="00393603" w:rsidRDefault="00393603" w:rsidP="00747FE5">
                            <w:pPr>
                              <w:pStyle w:val="BackPage"/>
                            </w:pPr>
                            <w:r>
                              <w:t>London</w:t>
                            </w:r>
                          </w:p>
                          <w:p w14:paraId="66458667" w14:textId="77777777" w:rsidR="00393603" w:rsidRDefault="00393603" w:rsidP="00747FE5">
                            <w:pPr>
                              <w:pStyle w:val="BackPage"/>
                            </w:pPr>
                            <w:r>
                              <w:t>SE1 8UG</w:t>
                            </w:r>
                          </w:p>
                          <w:p w14:paraId="1441FB88" w14:textId="77777777" w:rsidR="00393603" w:rsidRDefault="00393603" w:rsidP="00747FE5">
                            <w:pPr>
                              <w:pStyle w:val="BackPage"/>
                            </w:pPr>
                          </w:p>
                          <w:p w14:paraId="425B4947" w14:textId="77777777" w:rsidR="00393603" w:rsidRPr="00AB508B" w:rsidRDefault="00393603" w:rsidP="00747FE5">
                            <w:pPr>
                              <w:pStyle w:val="BackPage"/>
                            </w:pPr>
                            <w:r>
                              <w:t>This publication can be made available in a number of alternative formats on request.</w:t>
                            </w:r>
                          </w:p>
                        </w:tc>
                      </w:tr>
                      <w:tr w:rsidR="00393603" w:rsidRPr="00AB508B" w14:paraId="67BAAD9C" w14:textId="77777777" w:rsidTr="00113933">
                        <w:trPr>
                          <w:trHeight w:val="567"/>
                        </w:trPr>
                        <w:tc>
                          <w:tcPr>
                            <w:tcW w:w="10040" w:type="dxa"/>
                            <w:vAlign w:val="bottom"/>
                          </w:tcPr>
                          <w:p w14:paraId="64067B72" w14:textId="77777777" w:rsidR="00393603" w:rsidRPr="00AB508B" w:rsidRDefault="00393603" w:rsidP="00AB508B">
                            <w:pPr>
                              <w:pStyle w:val="BackPage"/>
                            </w:pPr>
                            <w:r w:rsidRPr="00334DA2">
                              <w:t>© NHS England 2023  |  PR1383</w:t>
                            </w:r>
                          </w:p>
                        </w:tc>
                      </w:tr>
                    </w:tbl>
                    <w:p w14:paraId="7FA33AC5" w14:textId="77777777" w:rsidR="00393603" w:rsidRPr="000F0D5C" w:rsidRDefault="00393603" w:rsidP="00393603">
                      <w:pPr>
                        <w:pStyle w:val="BackPage"/>
                        <w:rPr>
                          <w:sz w:val="2"/>
                          <w:szCs w:val="2"/>
                        </w:rPr>
                      </w:pPr>
                    </w:p>
                  </w:txbxContent>
                </v:textbox>
                <w10:anchorlock/>
              </v:rect>
            </w:pict>
          </mc:Fallback>
        </mc:AlternateContent>
      </w:r>
    </w:p>
    <w:sectPr w:rsidR="1B3BCEA9"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EB2A" w14:textId="77777777" w:rsidR="0079056A" w:rsidRDefault="0079056A" w:rsidP="00C62674">
      <w:r>
        <w:separator/>
      </w:r>
    </w:p>
  </w:endnote>
  <w:endnote w:type="continuationSeparator" w:id="0">
    <w:p w14:paraId="5A8DA4D3" w14:textId="77777777" w:rsidR="0079056A" w:rsidRDefault="0079056A" w:rsidP="00C62674">
      <w:r>
        <w:continuationSeparator/>
      </w:r>
    </w:p>
  </w:endnote>
  <w:endnote w:type="continuationNotice" w:id="1">
    <w:p w14:paraId="1EFEA5CE" w14:textId="77777777" w:rsidR="0079056A" w:rsidRDefault="00790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3C5" w14:textId="3A79ACEE" w:rsidR="00AE0A48" w:rsidRDefault="00AE0A48">
    <w:pPr>
      <w:pStyle w:val="Footer"/>
    </w:pPr>
    <w:r>
      <w:rPr>
        <w:noProof/>
      </w:rPr>
      <mc:AlternateContent>
        <mc:Choice Requires="wps">
          <w:drawing>
            <wp:anchor distT="0" distB="0" distL="114300" distR="114300" simplePos="0" relativeHeight="251658240" behindDoc="1" locked="0" layoutInCell="1" allowOverlap="1" wp14:anchorId="25211190" wp14:editId="00AB867A">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EB24E"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fldChar w:fldCharType="begin"/>
    </w:r>
    <w:r>
      <w:instrText>styleref Title</w:instrText>
    </w:r>
    <w:r>
      <w:fldChar w:fldCharType="separate"/>
    </w:r>
    <w:r w:rsidR="00DD23FD">
      <w:rPr>
        <w:noProof/>
      </w:rPr>
      <w:t>Virtual wards enabled by technology</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692D" w14:textId="77777777" w:rsidR="0079056A" w:rsidRDefault="0079056A" w:rsidP="00C62674">
      <w:r>
        <w:separator/>
      </w:r>
    </w:p>
  </w:footnote>
  <w:footnote w:type="continuationSeparator" w:id="0">
    <w:p w14:paraId="6CBF32E3" w14:textId="77777777" w:rsidR="0079056A" w:rsidRDefault="0079056A" w:rsidP="00C62674">
      <w:r>
        <w:continuationSeparator/>
      </w:r>
    </w:p>
  </w:footnote>
  <w:footnote w:type="continuationNotice" w:id="1">
    <w:p w14:paraId="4E1A6506" w14:textId="77777777" w:rsidR="0079056A" w:rsidRDefault="0079056A"/>
  </w:footnote>
  <w:footnote w:id="2">
    <w:p w14:paraId="48905DDF" w14:textId="31D55E18" w:rsidR="00866D32" w:rsidRDefault="00866D32" w:rsidP="00866D32">
      <w:r w:rsidRPr="00866D32">
        <w:rPr>
          <w:rStyle w:val="FootnoteReference"/>
          <w:sz w:val="20"/>
          <w:szCs w:val="20"/>
        </w:rPr>
        <w:footnoteRef/>
      </w:r>
      <w:r w:rsidRPr="00866D32">
        <w:rPr>
          <w:sz w:val="20"/>
          <w:szCs w:val="20"/>
        </w:rPr>
        <w:t xml:space="preserve"> The NHS CCF (Central Commercial Function) team are currently updating the guidance to show this as an endorsed route to market on the relevant pillars.</w:t>
      </w:r>
    </w:p>
  </w:footnote>
  <w:footnote w:id="3">
    <w:p w14:paraId="29F6DCF7" w14:textId="77777777" w:rsidR="00BB168B" w:rsidRDefault="00BB168B" w:rsidP="00BB168B">
      <w:pPr>
        <w:ind w:right="-455"/>
        <w:rPr>
          <w:sz w:val="20"/>
          <w:szCs w:val="20"/>
        </w:rPr>
      </w:pPr>
      <w:r>
        <w:rPr>
          <w:vertAlign w:val="superscript"/>
        </w:rPr>
        <w:footnoteRef/>
      </w:r>
      <w:r>
        <w:rPr>
          <w:sz w:val="20"/>
          <w:szCs w:val="20"/>
        </w:rPr>
        <w:t xml:space="preserve"> </w:t>
      </w:r>
      <w:sdt>
        <w:sdtPr>
          <w:rPr>
            <w:color w:val="2B579A"/>
            <w:shd w:val="clear" w:color="auto" w:fill="E6E6E6"/>
          </w:rPr>
          <w:tag w:val="goog_rdk_39"/>
          <w:id w:val="2019651179"/>
        </w:sdtPr>
        <w:sdtEndPr>
          <w:rPr>
            <w:color w:val="231F20"/>
            <w:shd w:val="clear" w:color="auto" w:fill="auto"/>
          </w:rPr>
        </w:sdtEndPr>
        <w:sdtContent/>
      </w:sdt>
      <w:r>
        <w:rPr>
          <w:sz w:val="20"/>
          <w:szCs w:val="20"/>
        </w:rPr>
        <w:t>Spot monitoring is the recording of data using standalone devices, not wearable devices. This can be done on a scheduled or an ad-hoc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668E" w14:textId="77777777" w:rsidR="00AE0A48" w:rsidRDefault="00AE0A48">
    <w:pPr>
      <w:pStyle w:val="Header"/>
    </w:pPr>
    <w:r>
      <w:rPr>
        <w:noProof/>
      </w:rPr>
      <w:drawing>
        <wp:anchor distT="0" distB="0" distL="114300" distR="114300" simplePos="0" relativeHeight="251658241" behindDoc="1" locked="0" layoutInCell="1" allowOverlap="1" wp14:anchorId="2FEB8CD7" wp14:editId="7A86EC38">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5B9" w14:textId="77777777" w:rsidR="00AE0A48" w:rsidRDefault="00AE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A94909"/>
    <w:multiLevelType w:val="hybridMultilevel"/>
    <w:tmpl w:val="38CAE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78BA08"/>
    <w:multiLevelType w:val="hybridMultilevel"/>
    <w:tmpl w:val="9F24ACFC"/>
    <w:lvl w:ilvl="0" w:tplc="C08E98D2">
      <w:start w:val="1"/>
      <w:numFmt w:val="lowerLetter"/>
      <w:lvlText w:val="%1."/>
      <w:lvlJc w:val="left"/>
      <w:pPr>
        <w:ind w:left="720" w:hanging="360"/>
      </w:pPr>
    </w:lvl>
    <w:lvl w:ilvl="1" w:tplc="43F4629C">
      <w:start w:val="1"/>
      <w:numFmt w:val="lowerLetter"/>
      <w:lvlText w:val="%2."/>
      <w:lvlJc w:val="left"/>
      <w:pPr>
        <w:ind w:left="1440" w:hanging="360"/>
      </w:pPr>
    </w:lvl>
    <w:lvl w:ilvl="2" w:tplc="6DAA6CDC">
      <w:start w:val="1"/>
      <w:numFmt w:val="lowerRoman"/>
      <w:lvlText w:val="%3."/>
      <w:lvlJc w:val="right"/>
      <w:pPr>
        <w:ind w:left="2160" w:hanging="180"/>
      </w:pPr>
    </w:lvl>
    <w:lvl w:ilvl="3" w:tplc="D512B85C">
      <w:start w:val="1"/>
      <w:numFmt w:val="decimal"/>
      <w:lvlText w:val="%4."/>
      <w:lvlJc w:val="left"/>
      <w:pPr>
        <w:ind w:left="2880" w:hanging="360"/>
      </w:pPr>
    </w:lvl>
    <w:lvl w:ilvl="4" w:tplc="3A0C5E8E">
      <w:start w:val="1"/>
      <w:numFmt w:val="lowerLetter"/>
      <w:lvlText w:val="%5."/>
      <w:lvlJc w:val="left"/>
      <w:pPr>
        <w:ind w:left="3600" w:hanging="360"/>
      </w:pPr>
    </w:lvl>
    <w:lvl w:ilvl="5" w:tplc="EA30F490">
      <w:start w:val="1"/>
      <w:numFmt w:val="lowerRoman"/>
      <w:lvlText w:val="%6."/>
      <w:lvlJc w:val="right"/>
      <w:pPr>
        <w:ind w:left="4320" w:hanging="180"/>
      </w:pPr>
    </w:lvl>
    <w:lvl w:ilvl="6" w:tplc="D64229CA">
      <w:start w:val="1"/>
      <w:numFmt w:val="decimal"/>
      <w:lvlText w:val="%7."/>
      <w:lvlJc w:val="left"/>
      <w:pPr>
        <w:ind w:left="5040" w:hanging="360"/>
      </w:pPr>
    </w:lvl>
    <w:lvl w:ilvl="7" w:tplc="A1526DA0">
      <w:start w:val="1"/>
      <w:numFmt w:val="lowerLetter"/>
      <w:lvlText w:val="%8."/>
      <w:lvlJc w:val="left"/>
      <w:pPr>
        <w:ind w:left="5760" w:hanging="360"/>
      </w:pPr>
    </w:lvl>
    <w:lvl w:ilvl="8" w:tplc="1924C950">
      <w:start w:val="1"/>
      <w:numFmt w:val="lowerRoman"/>
      <w:lvlText w:val="%9."/>
      <w:lvlJc w:val="right"/>
      <w:pPr>
        <w:ind w:left="6480" w:hanging="180"/>
      </w:pPr>
    </w:lvl>
  </w:abstractNum>
  <w:abstractNum w:abstractNumId="7" w15:restartNumberingAfterBreak="0">
    <w:nsid w:val="40F659EC"/>
    <w:multiLevelType w:val="hybridMultilevel"/>
    <w:tmpl w:val="ACF60FDC"/>
    <w:lvl w:ilvl="0" w:tplc="EE4C9562">
      <w:start w:val="6"/>
      <w:numFmt w:val="bullet"/>
      <w:lvlText w:val=""/>
      <w:lvlJc w:val="left"/>
      <w:pPr>
        <w:ind w:left="720" w:hanging="360"/>
      </w:pPr>
      <w:rPr>
        <w:rFonts w:ascii="Symbol" w:eastAsiaTheme="minorHAnsi" w:hAnsi="Symbol" w:cstheme="minorBidi" w:hint="default"/>
        <w:color w:val="0563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E4B38"/>
    <w:multiLevelType w:val="multilevel"/>
    <w:tmpl w:val="65E4417A"/>
    <w:numStyleLink w:val="NHSListNumbers"/>
  </w:abstractNum>
  <w:abstractNum w:abstractNumId="9" w15:restartNumberingAfterBreak="0">
    <w:nsid w:val="4D026C3F"/>
    <w:multiLevelType w:val="hybridMultilevel"/>
    <w:tmpl w:val="AD4E17BA"/>
    <w:lvl w:ilvl="0" w:tplc="83FAB392">
      <w:start w:val="1"/>
      <w:numFmt w:val="bullet"/>
      <w:lvlText w:val=""/>
      <w:lvlJc w:val="left"/>
      <w:pPr>
        <w:ind w:left="720" w:hanging="360"/>
      </w:pPr>
      <w:rPr>
        <w:rFonts w:ascii="Symbol" w:hAnsi="Symbol" w:hint="default"/>
        <w:color w:val="0563C1"/>
      </w:rPr>
    </w:lvl>
    <w:lvl w:ilvl="1" w:tplc="A44803E6">
      <w:start w:val="1"/>
      <w:numFmt w:val="bullet"/>
      <w:lvlText w:val="o"/>
      <w:lvlJc w:val="left"/>
      <w:pPr>
        <w:ind w:left="1440" w:hanging="360"/>
      </w:pPr>
      <w:rPr>
        <w:rFonts w:ascii="Courier New" w:hAnsi="Courier New" w:hint="default"/>
      </w:rPr>
    </w:lvl>
    <w:lvl w:ilvl="2" w:tplc="F4BEB778">
      <w:start w:val="1"/>
      <w:numFmt w:val="bullet"/>
      <w:lvlText w:val=""/>
      <w:lvlJc w:val="left"/>
      <w:pPr>
        <w:ind w:left="2160" w:hanging="360"/>
      </w:pPr>
      <w:rPr>
        <w:rFonts w:ascii="Wingdings" w:hAnsi="Wingdings" w:hint="default"/>
      </w:rPr>
    </w:lvl>
    <w:lvl w:ilvl="3" w:tplc="E4A424B8">
      <w:start w:val="1"/>
      <w:numFmt w:val="bullet"/>
      <w:lvlText w:val=""/>
      <w:lvlJc w:val="left"/>
      <w:pPr>
        <w:ind w:left="2880" w:hanging="360"/>
      </w:pPr>
      <w:rPr>
        <w:rFonts w:ascii="Symbol" w:hAnsi="Symbol" w:hint="default"/>
      </w:rPr>
    </w:lvl>
    <w:lvl w:ilvl="4" w:tplc="278EF3E4">
      <w:start w:val="1"/>
      <w:numFmt w:val="bullet"/>
      <w:lvlText w:val="o"/>
      <w:lvlJc w:val="left"/>
      <w:pPr>
        <w:ind w:left="3600" w:hanging="360"/>
      </w:pPr>
      <w:rPr>
        <w:rFonts w:ascii="Courier New" w:hAnsi="Courier New" w:hint="default"/>
      </w:rPr>
    </w:lvl>
    <w:lvl w:ilvl="5" w:tplc="27B83B76">
      <w:start w:val="1"/>
      <w:numFmt w:val="bullet"/>
      <w:lvlText w:val=""/>
      <w:lvlJc w:val="left"/>
      <w:pPr>
        <w:ind w:left="4320" w:hanging="360"/>
      </w:pPr>
      <w:rPr>
        <w:rFonts w:ascii="Wingdings" w:hAnsi="Wingdings" w:hint="default"/>
      </w:rPr>
    </w:lvl>
    <w:lvl w:ilvl="6" w:tplc="85C0982C">
      <w:start w:val="1"/>
      <w:numFmt w:val="bullet"/>
      <w:lvlText w:val=""/>
      <w:lvlJc w:val="left"/>
      <w:pPr>
        <w:ind w:left="5040" w:hanging="360"/>
      </w:pPr>
      <w:rPr>
        <w:rFonts w:ascii="Symbol" w:hAnsi="Symbol" w:hint="default"/>
      </w:rPr>
    </w:lvl>
    <w:lvl w:ilvl="7" w:tplc="3FB8F84E">
      <w:start w:val="1"/>
      <w:numFmt w:val="bullet"/>
      <w:lvlText w:val="o"/>
      <w:lvlJc w:val="left"/>
      <w:pPr>
        <w:ind w:left="5760" w:hanging="360"/>
      </w:pPr>
      <w:rPr>
        <w:rFonts w:ascii="Courier New" w:hAnsi="Courier New" w:hint="default"/>
      </w:rPr>
    </w:lvl>
    <w:lvl w:ilvl="8" w:tplc="8C8EBC76">
      <w:start w:val="1"/>
      <w:numFmt w:val="bullet"/>
      <w:lvlText w:val=""/>
      <w:lvlJc w:val="left"/>
      <w:pPr>
        <w:ind w:left="6480" w:hanging="360"/>
      </w:pPr>
      <w:rPr>
        <w:rFonts w:ascii="Wingdings" w:hAnsi="Wingdings" w:hint="default"/>
      </w:rPr>
    </w:lvl>
  </w:abstractNum>
  <w:abstractNum w:abstractNumId="10" w15:restartNumberingAfterBreak="0">
    <w:nsid w:val="6B13133A"/>
    <w:multiLevelType w:val="multilevel"/>
    <w:tmpl w:val="88A0068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4D0153"/>
    <w:multiLevelType w:val="multilevel"/>
    <w:tmpl w:val="0DCCA49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2465968">
    <w:abstractNumId w:val="3"/>
  </w:num>
  <w:num w:numId="2" w16cid:durableId="706369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4895019">
    <w:abstractNumId w:val="4"/>
  </w:num>
  <w:num w:numId="4" w16cid:durableId="1702322879">
    <w:abstractNumId w:val="5"/>
  </w:num>
  <w:num w:numId="5" w16cid:durableId="1372223003">
    <w:abstractNumId w:val="2"/>
  </w:num>
  <w:num w:numId="6" w16cid:durableId="478808092">
    <w:abstractNumId w:val="0"/>
  </w:num>
  <w:num w:numId="7" w16cid:durableId="2104059834">
    <w:abstractNumId w:val="11"/>
  </w:num>
  <w:num w:numId="8" w16cid:durableId="30762723">
    <w:abstractNumId w:val="10"/>
  </w:num>
  <w:num w:numId="9" w16cid:durableId="1304115258">
    <w:abstractNumId w:val="6"/>
  </w:num>
  <w:num w:numId="10" w16cid:durableId="184639042">
    <w:abstractNumId w:val="9"/>
  </w:num>
  <w:num w:numId="11" w16cid:durableId="1098988833">
    <w:abstractNumId w:val="7"/>
  </w:num>
  <w:num w:numId="12" w16cid:durableId="46277070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A2"/>
    <w:rsid w:val="000033DE"/>
    <w:rsid w:val="00004C84"/>
    <w:rsid w:val="00005BEA"/>
    <w:rsid w:val="0000631E"/>
    <w:rsid w:val="000073FC"/>
    <w:rsid w:val="00016B81"/>
    <w:rsid w:val="00023433"/>
    <w:rsid w:val="00031501"/>
    <w:rsid w:val="00031516"/>
    <w:rsid w:val="00031C72"/>
    <w:rsid w:val="000374B0"/>
    <w:rsid w:val="00040561"/>
    <w:rsid w:val="00040B95"/>
    <w:rsid w:val="00041883"/>
    <w:rsid w:val="000439C3"/>
    <w:rsid w:val="00047A8C"/>
    <w:rsid w:val="0005268B"/>
    <w:rsid w:val="00054601"/>
    <w:rsid w:val="000552A9"/>
    <w:rsid w:val="00056158"/>
    <w:rsid w:val="00056E97"/>
    <w:rsid w:val="0006208A"/>
    <w:rsid w:val="0006548C"/>
    <w:rsid w:val="0006775B"/>
    <w:rsid w:val="0007332D"/>
    <w:rsid w:val="00075083"/>
    <w:rsid w:val="00080805"/>
    <w:rsid w:val="000817DC"/>
    <w:rsid w:val="00083341"/>
    <w:rsid w:val="00087FD8"/>
    <w:rsid w:val="0009430E"/>
    <w:rsid w:val="000C1B53"/>
    <w:rsid w:val="000C20E7"/>
    <w:rsid w:val="000C3701"/>
    <w:rsid w:val="000C4C57"/>
    <w:rsid w:val="000C52D8"/>
    <w:rsid w:val="000C61A7"/>
    <w:rsid w:val="000D29E7"/>
    <w:rsid w:val="000E1FF7"/>
    <w:rsid w:val="000F0D5C"/>
    <w:rsid w:val="000F2BD8"/>
    <w:rsid w:val="00105F1E"/>
    <w:rsid w:val="00106B6E"/>
    <w:rsid w:val="00107C90"/>
    <w:rsid w:val="0011344A"/>
    <w:rsid w:val="00113933"/>
    <w:rsid w:val="00115728"/>
    <w:rsid w:val="0011710E"/>
    <w:rsid w:val="00120D44"/>
    <w:rsid w:val="001241F4"/>
    <w:rsid w:val="00124A97"/>
    <w:rsid w:val="00134718"/>
    <w:rsid w:val="0014017A"/>
    <w:rsid w:val="0014217A"/>
    <w:rsid w:val="00142D88"/>
    <w:rsid w:val="00147780"/>
    <w:rsid w:val="001551BA"/>
    <w:rsid w:val="0016281C"/>
    <w:rsid w:val="0016687B"/>
    <w:rsid w:val="001767EB"/>
    <w:rsid w:val="0018503B"/>
    <w:rsid w:val="00195770"/>
    <w:rsid w:val="00195D2E"/>
    <w:rsid w:val="001A1893"/>
    <w:rsid w:val="001A3D7E"/>
    <w:rsid w:val="001A6283"/>
    <w:rsid w:val="001A7433"/>
    <w:rsid w:val="001B29CF"/>
    <w:rsid w:val="001B4235"/>
    <w:rsid w:val="001B4EB6"/>
    <w:rsid w:val="001B5DD8"/>
    <w:rsid w:val="001C03DF"/>
    <w:rsid w:val="001C26E1"/>
    <w:rsid w:val="001C2DA9"/>
    <w:rsid w:val="001D22FA"/>
    <w:rsid w:val="001D4406"/>
    <w:rsid w:val="001E3F70"/>
    <w:rsid w:val="001E40B9"/>
    <w:rsid w:val="001E7B0C"/>
    <w:rsid w:val="001F05DE"/>
    <w:rsid w:val="001F294D"/>
    <w:rsid w:val="002036F9"/>
    <w:rsid w:val="00204A4A"/>
    <w:rsid w:val="002127F0"/>
    <w:rsid w:val="002138AB"/>
    <w:rsid w:val="0021516C"/>
    <w:rsid w:val="002160CA"/>
    <w:rsid w:val="00220A8F"/>
    <w:rsid w:val="00221543"/>
    <w:rsid w:val="002237C3"/>
    <w:rsid w:val="00224B11"/>
    <w:rsid w:val="00224B5E"/>
    <w:rsid w:val="00237314"/>
    <w:rsid w:val="00244BB6"/>
    <w:rsid w:val="00245531"/>
    <w:rsid w:val="00246FF7"/>
    <w:rsid w:val="00254CE2"/>
    <w:rsid w:val="00266D1A"/>
    <w:rsid w:val="00267D05"/>
    <w:rsid w:val="0027303D"/>
    <w:rsid w:val="0027399B"/>
    <w:rsid w:val="00281427"/>
    <w:rsid w:val="00285307"/>
    <w:rsid w:val="002856DE"/>
    <w:rsid w:val="00285A3B"/>
    <w:rsid w:val="00292B5D"/>
    <w:rsid w:val="00293883"/>
    <w:rsid w:val="0029733B"/>
    <w:rsid w:val="002A4E8E"/>
    <w:rsid w:val="002B7021"/>
    <w:rsid w:val="002C1EAB"/>
    <w:rsid w:val="002D220A"/>
    <w:rsid w:val="002D567F"/>
    <w:rsid w:val="002D6BF8"/>
    <w:rsid w:val="002E54B0"/>
    <w:rsid w:val="002E57CF"/>
    <w:rsid w:val="002F55C5"/>
    <w:rsid w:val="00301C51"/>
    <w:rsid w:val="0030692D"/>
    <w:rsid w:val="00306B69"/>
    <w:rsid w:val="00320DB7"/>
    <w:rsid w:val="0032246B"/>
    <w:rsid w:val="003265C3"/>
    <w:rsid w:val="00333BE8"/>
    <w:rsid w:val="00334DA2"/>
    <w:rsid w:val="00342C33"/>
    <w:rsid w:val="00344D03"/>
    <w:rsid w:val="003506FF"/>
    <w:rsid w:val="0036014B"/>
    <w:rsid w:val="00361F84"/>
    <w:rsid w:val="00362963"/>
    <w:rsid w:val="00364971"/>
    <w:rsid w:val="003653D5"/>
    <w:rsid w:val="00371941"/>
    <w:rsid w:val="003809A7"/>
    <w:rsid w:val="00383C0B"/>
    <w:rsid w:val="00387C09"/>
    <w:rsid w:val="00393603"/>
    <w:rsid w:val="003A5732"/>
    <w:rsid w:val="003A5C84"/>
    <w:rsid w:val="003A6AEB"/>
    <w:rsid w:val="003B1D1B"/>
    <w:rsid w:val="003B54C2"/>
    <w:rsid w:val="003B6559"/>
    <w:rsid w:val="003C2B3D"/>
    <w:rsid w:val="003C56CE"/>
    <w:rsid w:val="003C589C"/>
    <w:rsid w:val="003D15D8"/>
    <w:rsid w:val="003D2DDA"/>
    <w:rsid w:val="003D7C4D"/>
    <w:rsid w:val="003E16AB"/>
    <w:rsid w:val="003E43D3"/>
    <w:rsid w:val="003F7DD6"/>
    <w:rsid w:val="00412BCE"/>
    <w:rsid w:val="0041377C"/>
    <w:rsid w:val="00413E1C"/>
    <w:rsid w:val="004217CF"/>
    <w:rsid w:val="00423121"/>
    <w:rsid w:val="004241F5"/>
    <w:rsid w:val="00432583"/>
    <w:rsid w:val="0043288F"/>
    <w:rsid w:val="004343E0"/>
    <w:rsid w:val="00436424"/>
    <w:rsid w:val="00442E34"/>
    <w:rsid w:val="00444028"/>
    <w:rsid w:val="0044490C"/>
    <w:rsid w:val="00447E51"/>
    <w:rsid w:val="00460B66"/>
    <w:rsid w:val="004824ED"/>
    <w:rsid w:val="00494293"/>
    <w:rsid w:val="004D3326"/>
    <w:rsid w:val="004D3B45"/>
    <w:rsid w:val="004D5788"/>
    <w:rsid w:val="004F2AEA"/>
    <w:rsid w:val="005009EA"/>
    <w:rsid w:val="005047E3"/>
    <w:rsid w:val="00507BAD"/>
    <w:rsid w:val="00510CDF"/>
    <w:rsid w:val="00516192"/>
    <w:rsid w:val="00520A5F"/>
    <w:rsid w:val="00523C96"/>
    <w:rsid w:val="00523DE4"/>
    <w:rsid w:val="00524EDA"/>
    <w:rsid w:val="00532541"/>
    <w:rsid w:val="00534D4A"/>
    <w:rsid w:val="005352EF"/>
    <w:rsid w:val="00540F6C"/>
    <w:rsid w:val="00542B79"/>
    <w:rsid w:val="0055406D"/>
    <w:rsid w:val="005540E4"/>
    <w:rsid w:val="005607DF"/>
    <w:rsid w:val="00564CB4"/>
    <w:rsid w:val="005662C6"/>
    <w:rsid w:val="00570BC3"/>
    <w:rsid w:val="00572C52"/>
    <w:rsid w:val="005806C1"/>
    <w:rsid w:val="005A2A17"/>
    <w:rsid w:val="005A45BE"/>
    <w:rsid w:val="005A5621"/>
    <w:rsid w:val="005B5452"/>
    <w:rsid w:val="005D3F15"/>
    <w:rsid w:val="005D6713"/>
    <w:rsid w:val="005D6E20"/>
    <w:rsid w:val="005E110C"/>
    <w:rsid w:val="005E4CF5"/>
    <w:rsid w:val="005E5636"/>
    <w:rsid w:val="005F36D3"/>
    <w:rsid w:val="005F4852"/>
    <w:rsid w:val="005F574C"/>
    <w:rsid w:val="00603C9D"/>
    <w:rsid w:val="0061299F"/>
    <w:rsid w:val="00612E72"/>
    <w:rsid w:val="0061383F"/>
    <w:rsid w:val="00630977"/>
    <w:rsid w:val="00633413"/>
    <w:rsid w:val="006365DF"/>
    <w:rsid w:val="0064517C"/>
    <w:rsid w:val="0064622F"/>
    <w:rsid w:val="00646FC4"/>
    <w:rsid w:val="0065394C"/>
    <w:rsid w:val="00655F0A"/>
    <w:rsid w:val="00656C7A"/>
    <w:rsid w:val="0066212B"/>
    <w:rsid w:val="00667CF9"/>
    <w:rsid w:val="0067417B"/>
    <w:rsid w:val="0067577A"/>
    <w:rsid w:val="006823FA"/>
    <w:rsid w:val="00683B97"/>
    <w:rsid w:val="006944E4"/>
    <w:rsid w:val="0069747E"/>
    <w:rsid w:val="006A61B9"/>
    <w:rsid w:val="006B3373"/>
    <w:rsid w:val="006B5545"/>
    <w:rsid w:val="006C0537"/>
    <w:rsid w:val="006D0D19"/>
    <w:rsid w:val="006D4369"/>
    <w:rsid w:val="006D7ACC"/>
    <w:rsid w:val="006E526E"/>
    <w:rsid w:val="006F0180"/>
    <w:rsid w:val="006F54DE"/>
    <w:rsid w:val="00701988"/>
    <w:rsid w:val="00702CA1"/>
    <w:rsid w:val="00703497"/>
    <w:rsid w:val="007050C0"/>
    <w:rsid w:val="007201DB"/>
    <w:rsid w:val="00724BE4"/>
    <w:rsid w:val="00730B94"/>
    <w:rsid w:val="00732C48"/>
    <w:rsid w:val="00747FE5"/>
    <w:rsid w:val="007542A0"/>
    <w:rsid w:val="00754E88"/>
    <w:rsid w:val="00760A10"/>
    <w:rsid w:val="0076360D"/>
    <w:rsid w:val="00765037"/>
    <w:rsid w:val="0077352F"/>
    <w:rsid w:val="00775FBB"/>
    <w:rsid w:val="007808F8"/>
    <w:rsid w:val="00781803"/>
    <w:rsid w:val="00782061"/>
    <w:rsid w:val="00782541"/>
    <w:rsid w:val="00786686"/>
    <w:rsid w:val="007878BB"/>
    <w:rsid w:val="0079056A"/>
    <w:rsid w:val="007958EE"/>
    <w:rsid w:val="00797721"/>
    <w:rsid w:val="007A3570"/>
    <w:rsid w:val="007A440D"/>
    <w:rsid w:val="007A696B"/>
    <w:rsid w:val="007B316D"/>
    <w:rsid w:val="007C27AF"/>
    <w:rsid w:val="007C5084"/>
    <w:rsid w:val="007C57D8"/>
    <w:rsid w:val="007E0475"/>
    <w:rsid w:val="007E047C"/>
    <w:rsid w:val="007E2EE3"/>
    <w:rsid w:val="007E2FAD"/>
    <w:rsid w:val="007E52E5"/>
    <w:rsid w:val="007F2E69"/>
    <w:rsid w:val="007F4807"/>
    <w:rsid w:val="007F63A9"/>
    <w:rsid w:val="007F6E18"/>
    <w:rsid w:val="007F790E"/>
    <w:rsid w:val="00802E21"/>
    <w:rsid w:val="00810A2E"/>
    <w:rsid w:val="0081263E"/>
    <w:rsid w:val="00813BE4"/>
    <w:rsid w:val="00816512"/>
    <w:rsid w:val="008217A9"/>
    <w:rsid w:val="00826685"/>
    <w:rsid w:val="00833395"/>
    <w:rsid w:val="008354C3"/>
    <w:rsid w:val="00835B11"/>
    <w:rsid w:val="00837FAC"/>
    <w:rsid w:val="00851C51"/>
    <w:rsid w:val="008529EF"/>
    <w:rsid w:val="00856CDC"/>
    <w:rsid w:val="00862C91"/>
    <w:rsid w:val="00862DFA"/>
    <w:rsid w:val="00866D32"/>
    <w:rsid w:val="00866F26"/>
    <w:rsid w:val="00867423"/>
    <w:rsid w:val="008675E6"/>
    <w:rsid w:val="00871278"/>
    <w:rsid w:val="0087368D"/>
    <w:rsid w:val="00876072"/>
    <w:rsid w:val="00885268"/>
    <w:rsid w:val="00890E8A"/>
    <w:rsid w:val="00893C39"/>
    <w:rsid w:val="00894A32"/>
    <w:rsid w:val="00895086"/>
    <w:rsid w:val="008969B8"/>
    <w:rsid w:val="008B3B6F"/>
    <w:rsid w:val="008B434C"/>
    <w:rsid w:val="008B5CEC"/>
    <w:rsid w:val="008C2BEE"/>
    <w:rsid w:val="008C2F8C"/>
    <w:rsid w:val="008C6CC0"/>
    <w:rsid w:val="008E1D80"/>
    <w:rsid w:val="008E3AB7"/>
    <w:rsid w:val="008E603C"/>
    <w:rsid w:val="008E6AE9"/>
    <w:rsid w:val="008F36CA"/>
    <w:rsid w:val="008F6418"/>
    <w:rsid w:val="008F6F80"/>
    <w:rsid w:val="008F7878"/>
    <w:rsid w:val="00900DEC"/>
    <w:rsid w:val="00906F5E"/>
    <w:rsid w:val="00917299"/>
    <w:rsid w:val="009206DF"/>
    <w:rsid w:val="00922F8B"/>
    <w:rsid w:val="00926C51"/>
    <w:rsid w:val="0093025E"/>
    <w:rsid w:val="009304C9"/>
    <w:rsid w:val="00936A2B"/>
    <w:rsid w:val="00942465"/>
    <w:rsid w:val="00947295"/>
    <w:rsid w:val="00953789"/>
    <w:rsid w:val="009539AC"/>
    <w:rsid w:val="009555C2"/>
    <w:rsid w:val="00964769"/>
    <w:rsid w:val="00972393"/>
    <w:rsid w:val="00974863"/>
    <w:rsid w:val="00981245"/>
    <w:rsid w:val="009830D7"/>
    <w:rsid w:val="00983123"/>
    <w:rsid w:val="00984378"/>
    <w:rsid w:val="0098629E"/>
    <w:rsid w:val="00991A82"/>
    <w:rsid w:val="00994709"/>
    <w:rsid w:val="00996C61"/>
    <w:rsid w:val="009A120A"/>
    <w:rsid w:val="009A1A5D"/>
    <w:rsid w:val="009A29E8"/>
    <w:rsid w:val="009A2B31"/>
    <w:rsid w:val="009A3D84"/>
    <w:rsid w:val="009B036D"/>
    <w:rsid w:val="009B2A07"/>
    <w:rsid w:val="009B7C41"/>
    <w:rsid w:val="009C2CF5"/>
    <w:rsid w:val="009D1724"/>
    <w:rsid w:val="009D6999"/>
    <w:rsid w:val="009E142E"/>
    <w:rsid w:val="009F1C8D"/>
    <w:rsid w:val="009F2F33"/>
    <w:rsid w:val="009F4304"/>
    <w:rsid w:val="009F46F5"/>
    <w:rsid w:val="009F4745"/>
    <w:rsid w:val="009F6B5D"/>
    <w:rsid w:val="00A04D5C"/>
    <w:rsid w:val="00A05FD0"/>
    <w:rsid w:val="00A13EEA"/>
    <w:rsid w:val="00A20E39"/>
    <w:rsid w:val="00A216C9"/>
    <w:rsid w:val="00A262CC"/>
    <w:rsid w:val="00A268C8"/>
    <w:rsid w:val="00A31A7A"/>
    <w:rsid w:val="00A3368D"/>
    <w:rsid w:val="00A74C2F"/>
    <w:rsid w:val="00A77602"/>
    <w:rsid w:val="00A82770"/>
    <w:rsid w:val="00A8742A"/>
    <w:rsid w:val="00A927FD"/>
    <w:rsid w:val="00A932FB"/>
    <w:rsid w:val="00A940B7"/>
    <w:rsid w:val="00A948F7"/>
    <w:rsid w:val="00AA040A"/>
    <w:rsid w:val="00AA0C80"/>
    <w:rsid w:val="00AA2AA2"/>
    <w:rsid w:val="00AA3D06"/>
    <w:rsid w:val="00AA71E7"/>
    <w:rsid w:val="00AB10EC"/>
    <w:rsid w:val="00AB1720"/>
    <w:rsid w:val="00AB508B"/>
    <w:rsid w:val="00AD0DDF"/>
    <w:rsid w:val="00AD18B5"/>
    <w:rsid w:val="00AD6F8B"/>
    <w:rsid w:val="00AE0A48"/>
    <w:rsid w:val="00AE5BC8"/>
    <w:rsid w:val="00AE6E9A"/>
    <w:rsid w:val="00AF1E21"/>
    <w:rsid w:val="00AF6AEF"/>
    <w:rsid w:val="00B045E4"/>
    <w:rsid w:val="00B04804"/>
    <w:rsid w:val="00B0701F"/>
    <w:rsid w:val="00B12E8C"/>
    <w:rsid w:val="00B1526E"/>
    <w:rsid w:val="00B235F8"/>
    <w:rsid w:val="00B2483F"/>
    <w:rsid w:val="00B26EA5"/>
    <w:rsid w:val="00B34F51"/>
    <w:rsid w:val="00B353D6"/>
    <w:rsid w:val="00B378E1"/>
    <w:rsid w:val="00B4156B"/>
    <w:rsid w:val="00B442E5"/>
    <w:rsid w:val="00B44DAF"/>
    <w:rsid w:val="00B505D5"/>
    <w:rsid w:val="00B65E0A"/>
    <w:rsid w:val="00B818E0"/>
    <w:rsid w:val="00B81A72"/>
    <w:rsid w:val="00B84D8D"/>
    <w:rsid w:val="00B93459"/>
    <w:rsid w:val="00BA12AD"/>
    <w:rsid w:val="00BA3CC4"/>
    <w:rsid w:val="00BA5D34"/>
    <w:rsid w:val="00BA6342"/>
    <w:rsid w:val="00BA6BB8"/>
    <w:rsid w:val="00BB168B"/>
    <w:rsid w:val="00BB47DF"/>
    <w:rsid w:val="00BB69E6"/>
    <w:rsid w:val="00BC1D2A"/>
    <w:rsid w:val="00BC30CD"/>
    <w:rsid w:val="00BC40B2"/>
    <w:rsid w:val="00BC5C7E"/>
    <w:rsid w:val="00BD5993"/>
    <w:rsid w:val="00BD795A"/>
    <w:rsid w:val="00BE7AED"/>
    <w:rsid w:val="00BF2ADD"/>
    <w:rsid w:val="00BF2BBE"/>
    <w:rsid w:val="00BF7836"/>
    <w:rsid w:val="00C028EA"/>
    <w:rsid w:val="00C120A3"/>
    <w:rsid w:val="00C2144D"/>
    <w:rsid w:val="00C2452D"/>
    <w:rsid w:val="00C24772"/>
    <w:rsid w:val="00C273A9"/>
    <w:rsid w:val="00C4790F"/>
    <w:rsid w:val="00C62674"/>
    <w:rsid w:val="00C630C7"/>
    <w:rsid w:val="00C63AC1"/>
    <w:rsid w:val="00C66A52"/>
    <w:rsid w:val="00C71AE6"/>
    <w:rsid w:val="00C830A8"/>
    <w:rsid w:val="00C84551"/>
    <w:rsid w:val="00C866C1"/>
    <w:rsid w:val="00C915B2"/>
    <w:rsid w:val="00C936D7"/>
    <w:rsid w:val="00C93CAA"/>
    <w:rsid w:val="00C94874"/>
    <w:rsid w:val="00CB1220"/>
    <w:rsid w:val="00CB207C"/>
    <w:rsid w:val="00CB273B"/>
    <w:rsid w:val="00CB4716"/>
    <w:rsid w:val="00CB5A05"/>
    <w:rsid w:val="00CC157B"/>
    <w:rsid w:val="00CC1798"/>
    <w:rsid w:val="00CC2151"/>
    <w:rsid w:val="00CC3348"/>
    <w:rsid w:val="00CC43B9"/>
    <w:rsid w:val="00CD04AA"/>
    <w:rsid w:val="00CD4010"/>
    <w:rsid w:val="00CE0BD2"/>
    <w:rsid w:val="00CE0FD5"/>
    <w:rsid w:val="00CF3E44"/>
    <w:rsid w:val="00D05380"/>
    <w:rsid w:val="00D14461"/>
    <w:rsid w:val="00D20226"/>
    <w:rsid w:val="00D21DA8"/>
    <w:rsid w:val="00D2286E"/>
    <w:rsid w:val="00D267AE"/>
    <w:rsid w:val="00D27D8D"/>
    <w:rsid w:val="00D341F8"/>
    <w:rsid w:val="00D3629B"/>
    <w:rsid w:val="00D37292"/>
    <w:rsid w:val="00D37523"/>
    <w:rsid w:val="00D45B1D"/>
    <w:rsid w:val="00D500C3"/>
    <w:rsid w:val="00D5334B"/>
    <w:rsid w:val="00D54BFA"/>
    <w:rsid w:val="00D54ED1"/>
    <w:rsid w:val="00D5518C"/>
    <w:rsid w:val="00D60EAF"/>
    <w:rsid w:val="00D650A0"/>
    <w:rsid w:val="00D65C50"/>
    <w:rsid w:val="00D97128"/>
    <w:rsid w:val="00DA13FE"/>
    <w:rsid w:val="00DA3B80"/>
    <w:rsid w:val="00DB51D7"/>
    <w:rsid w:val="00DB61B6"/>
    <w:rsid w:val="00DB65EF"/>
    <w:rsid w:val="00DB76AA"/>
    <w:rsid w:val="00DD0DDC"/>
    <w:rsid w:val="00DD23FD"/>
    <w:rsid w:val="00DF35A8"/>
    <w:rsid w:val="00E01307"/>
    <w:rsid w:val="00E05D19"/>
    <w:rsid w:val="00E1625A"/>
    <w:rsid w:val="00E169AD"/>
    <w:rsid w:val="00E227A0"/>
    <w:rsid w:val="00E22DA9"/>
    <w:rsid w:val="00E24597"/>
    <w:rsid w:val="00E24AC1"/>
    <w:rsid w:val="00E258CA"/>
    <w:rsid w:val="00E27AD7"/>
    <w:rsid w:val="00E55BFC"/>
    <w:rsid w:val="00E60883"/>
    <w:rsid w:val="00E651A3"/>
    <w:rsid w:val="00E66D9D"/>
    <w:rsid w:val="00E675CC"/>
    <w:rsid w:val="00E749CB"/>
    <w:rsid w:val="00E75451"/>
    <w:rsid w:val="00E8321F"/>
    <w:rsid w:val="00E84A5B"/>
    <w:rsid w:val="00E86350"/>
    <w:rsid w:val="00E9197C"/>
    <w:rsid w:val="00E953DA"/>
    <w:rsid w:val="00E971B0"/>
    <w:rsid w:val="00EA284E"/>
    <w:rsid w:val="00EA72D1"/>
    <w:rsid w:val="00EB0DCA"/>
    <w:rsid w:val="00EC1C6C"/>
    <w:rsid w:val="00EE24A1"/>
    <w:rsid w:val="00EE2573"/>
    <w:rsid w:val="00EE7E0B"/>
    <w:rsid w:val="00EF5DE5"/>
    <w:rsid w:val="00F00882"/>
    <w:rsid w:val="00F01BF9"/>
    <w:rsid w:val="00F03D69"/>
    <w:rsid w:val="00F127F8"/>
    <w:rsid w:val="00F12F22"/>
    <w:rsid w:val="00F175E5"/>
    <w:rsid w:val="00F238B5"/>
    <w:rsid w:val="00F2533B"/>
    <w:rsid w:val="00F25611"/>
    <w:rsid w:val="00F37019"/>
    <w:rsid w:val="00F413CF"/>
    <w:rsid w:val="00F553B6"/>
    <w:rsid w:val="00F6251B"/>
    <w:rsid w:val="00F67341"/>
    <w:rsid w:val="00F7080A"/>
    <w:rsid w:val="00F72365"/>
    <w:rsid w:val="00F74562"/>
    <w:rsid w:val="00F86A73"/>
    <w:rsid w:val="00F91EA6"/>
    <w:rsid w:val="00FA1BFF"/>
    <w:rsid w:val="00FA5E74"/>
    <w:rsid w:val="00FA7FD2"/>
    <w:rsid w:val="00FC4C1C"/>
    <w:rsid w:val="00FC53D1"/>
    <w:rsid w:val="00FC56CC"/>
    <w:rsid w:val="00FC6811"/>
    <w:rsid w:val="00FD1E48"/>
    <w:rsid w:val="00FD491E"/>
    <w:rsid w:val="00FD4951"/>
    <w:rsid w:val="00FE02E6"/>
    <w:rsid w:val="00FE28FB"/>
    <w:rsid w:val="00FE6E30"/>
    <w:rsid w:val="00FE7EF4"/>
    <w:rsid w:val="00FF18AA"/>
    <w:rsid w:val="00FF3104"/>
    <w:rsid w:val="00FF5250"/>
    <w:rsid w:val="00FF52CC"/>
    <w:rsid w:val="063DCD1F"/>
    <w:rsid w:val="0EF67C8D"/>
    <w:rsid w:val="12399F2D"/>
    <w:rsid w:val="1257F49E"/>
    <w:rsid w:val="14A7E1D0"/>
    <w:rsid w:val="1614EE47"/>
    <w:rsid w:val="1B3BCEA9"/>
    <w:rsid w:val="1CA843A8"/>
    <w:rsid w:val="1F3E6D2F"/>
    <w:rsid w:val="21136A8D"/>
    <w:rsid w:val="2BA400EC"/>
    <w:rsid w:val="2C0ED220"/>
    <w:rsid w:val="2CECC6B5"/>
    <w:rsid w:val="2E1C96F2"/>
    <w:rsid w:val="382E7D3D"/>
    <w:rsid w:val="396E8C32"/>
    <w:rsid w:val="3E86F444"/>
    <w:rsid w:val="3FD516E2"/>
    <w:rsid w:val="4220D87C"/>
    <w:rsid w:val="4643C0EE"/>
    <w:rsid w:val="474E1B8D"/>
    <w:rsid w:val="4D69565A"/>
    <w:rsid w:val="4EB37DE4"/>
    <w:rsid w:val="5A93F38E"/>
    <w:rsid w:val="5DA4EFC2"/>
    <w:rsid w:val="6118E2DB"/>
    <w:rsid w:val="680387B1"/>
    <w:rsid w:val="6AB6FC11"/>
    <w:rsid w:val="6B965267"/>
    <w:rsid w:val="6C2E211D"/>
    <w:rsid w:val="70484900"/>
    <w:rsid w:val="715AF5CC"/>
    <w:rsid w:val="765704D9"/>
    <w:rsid w:val="7819E993"/>
    <w:rsid w:val="7F03F8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0E510"/>
  <w15:chartTrackingRefBased/>
  <w15:docId w15:val="{23EE0C3F-EF63-42DF-A5E8-F901FCD1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39"/>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aliases w:val="Sub Heading 3,Numbered Para 1,Dot pt,No Spacing1,List Paragraph Char Char Char,Indicator Text,List Paragraph1,Bullet Points,MAIN CONTENT,List Paragraph12,F5 List Paragraph,Normal numbered,List Paragraph11,OBC Bullet,Domspec,Bullet 1,L"/>
    <w:basedOn w:val="Normal"/>
    <w:link w:val="ListParagraphChar"/>
    <w:uiPriority w:val="99"/>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Roboto" w:hAnsi="Roboto"/>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Revision">
    <w:name w:val="Revision"/>
    <w:hidden/>
    <w:uiPriority w:val="99"/>
    <w:semiHidden/>
    <w:rsid w:val="00334DA2"/>
  </w:style>
  <w:style w:type="character" w:customStyle="1" w:styleId="normaltextrun">
    <w:name w:val="normaltextrun"/>
    <w:basedOn w:val="DefaultParagraphFont"/>
    <w:rsid w:val="00334DA2"/>
  </w:style>
  <w:style w:type="character" w:styleId="CommentReference">
    <w:name w:val="annotation reference"/>
    <w:basedOn w:val="DefaultParagraphFont"/>
    <w:uiPriority w:val="99"/>
    <w:semiHidden/>
    <w:unhideWhenUsed/>
    <w:rsid w:val="00334DA2"/>
    <w:rPr>
      <w:sz w:val="16"/>
      <w:szCs w:val="16"/>
    </w:rPr>
  </w:style>
  <w:style w:type="paragraph" w:styleId="CommentText">
    <w:name w:val="annotation text"/>
    <w:basedOn w:val="Normal"/>
    <w:link w:val="CommentTextChar"/>
    <w:uiPriority w:val="99"/>
    <w:unhideWhenUsed/>
    <w:rsid w:val="00334DA2"/>
    <w:rPr>
      <w:sz w:val="20"/>
      <w:szCs w:val="20"/>
    </w:rPr>
  </w:style>
  <w:style w:type="character" w:customStyle="1" w:styleId="CommentTextChar">
    <w:name w:val="Comment Text Char"/>
    <w:basedOn w:val="DefaultParagraphFont"/>
    <w:link w:val="CommentText"/>
    <w:uiPriority w:val="99"/>
    <w:rsid w:val="00334DA2"/>
    <w:rPr>
      <w:sz w:val="20"/>
      <w:szCs w:val="20"/>
    </w:rPr>
  </w:style>
  <w:style w:type="character" w:customStyle="1" w:styleId="ListParagraphChar">
    <w:name w:val="List Paragraph Char"/>
    <w:aliases w:val="Sub Heading 3 Char,Numbered Para 1 Char,Dot pt Char,No Spacing1 Char,List Paragraph Char Char Char Char,Indicator Text Char,List Paragraph1 Char,Bullet Points Char,MAIN CONTENT Char,List Paragraph12 Char,F5 List Paragraph Char,L Char"/>
    <w:link w:val="ListParagraph"/>
    <w:uiPriority w:val="34"/>
    <w:qFormat/>
    <w:locked/>
    <w:rsid w:val="00334DA2"/>
  </w:style>
  <w:style w:type="paragraph" w:styleId="FootnoteText">
    <w:name w:val="footnote text"/>
    <w:basedOn w:val="Normal"/>
    <w:link w:val="FootnoteTextChar"/>
    <w:uiPriority w:val="99"/>
    <w:semiHidden/>
    <w:unhideWhenUsed/>
    <w:rsid w:val="00A932FB"/>
    <w:rPr>
      <w:sz w:val="20"/>
      <w:szCs w:val="20"/>
    </w:rPr>
  </w:style>
  <w:style w:type="character" w:customStyle="1" w:styleId="FootnoteTextChar">
    <w:name w:val="Footnote Text Char"/>
    <w:basedOn w:val="DefaultParagraphFont"/>
    <w:link w:val="FootnoteText"/>
    <w:uiPriority w:val="99"/>
    <w:semiHidden/>
    <w:rsid w:val="00A932FB"/>
    <w:rPr>
      <w:sz w:val="20"/>
      <w:szCs w:val="20"/>
    </w:rPr>
  </w:style>
  <w:style w:type="character" w:styleId="FootnoteReference">
    <w:name w:val="footnote reference"/>
    <w:basedOn w:val="DefaultParagraphFont"/>
    <w:uiPriority w:val="99"/>
    <w:semiHidden/>
    <w:unhideWhenUsed/>
    <w:rsid w:val="00A932FB"/>
    <w:rPr>
      <w:vertAlign w:val="superscript"/>
    </w:rPr>
  </w:style>
  <w:style w:type="paragraph" w:styleId="CommentSubject">
    <w:name w:val="annotation subject"/>
    <w:basedOn w:val="CommentText"/>
    <w:next w:val="CommentText"/>
    <w:link w:val="CommentSubjectChar"/>
    <w:uiPriority w:val="99"/>
    <w:semiHidden/>
    <w:unhideWhenUsed/>
    <w:rsid w:val="00A932FB"/>
    <w:rPr>
      <w:b/>
      <w:bCs/>
    </w:rPr>
  </w:style>
  <w:style w:type="character" w:customStyle="1" w:styleId="CommentSubjectChar">
    <w:name w:val="Comment Subject Char"/>
    <w:basedOn w:val="CommentTextChar"/>
    <w:link w:val="CommentSubject"/>
    <w:uiPriority w:val="99"/>
    <w:semiHidden/>
    <w:rsid w:val="00A932FB"/>
    <w:rPr>
      <w:b/>
      <w:bCs/>
      <w:sz w:val="20"/>
      <w:szCs w:val="20"/>
    </w:rPr>
  </w:style>
  <w:style w:type="character" w:styleId="FollowedHyperlink">
    <w:name w:val="FollowedHyperlink"/>
    <w:basedOn w:val="DefaultParagraphFont"/>
    <w:uiPriority w:val="99"/>
    <w:semiHidden/>
    <w:unhideWhenUsed/>
    <w:rsid w:val="00A932FB"/>
    <w:rPr>
      <w:color w:val="954F72" w:themeColor="followedHyperlink"/>
      <w:u w:val="single"/>
    </w:rPr>
  </w:style>
  <w:style w:type="paragraph" w:styleId="BalloonText">
    <w:name w:val="Balloon Text"/>
    <w:basedOn w:val="Normal"/>
    <w:link w:val="BalloonTextChar"/>
    <w:uiPriority w:val="99"/>
    <w:semiHidden/>
    <w:unhideWhenUsed/>
    <w:rsid w:val="00A93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FB"/>
    <w:rPr>
      <w:rFonts w:ascii="Segoe UI" w:hAnsi="Segoe UI" w:cs="Segoe UI"/>
      <w:sz w:val="18"/>
      <w:szCs w:val="18"/>
    </w:rPr>
  </w:style>
  <w:style w:type="paragraph" w:customStyle="1" w:styleId="12-AuthTable">
    <w:name w:val="12-AuthTable"/>
    <w:basedOn w:val="Normal"/>
    <w:uiPriority w:val="99"/>
    <w:rsid w:val="00A932FB"/>
    <w:pPr>
      <w:spacing w:before="30" w:after="30"/>
    </w:pPr>
    <w:rPr>
      <w:rFonts w:ascii="Times New Roman" w:hAnsi="Times New Roman" w:cs="Times New Roman"/>
      <w:color w:val="auto"/>
      <w:sz w:val="22"/>
      <w:szCs w:val="22"/>
    </w:rPr>
  </w:style>
  <w:style w:type="paragraph" w:customStyle="1" w:styleId="12-AuthTableHeading">
    <w:name w:val="12-AuthTableHeading"/>
    <w:basedOn w:val="Normal"/>
    <w:uiPriority w:val="99"/>
    <w:rsid w:val="00A932FB"/>
    <w:pPr>
      <w:spacing w:before="30" w:after="30"/>
    </w:pPr>
    <w:rPr>
      <w:rFonts w:ascii="Times New Roman" w:hAnsi="Times New Roman" w:cs="Times New Roman"/>
      <w:b/>
      <w:bCs/>
      <w:color w:val="auto"/>
      <w:sz w:val="22"/>
      <w:szCs w:val="22"/>
    </w:rPr>
  </w:style>
  <w:style w:type="character" w:styleId="Mention">
    <w:name w:val="Mention"/>
    <w:basedOn w:val="DefaultParagraphFont"/>
    <w:uiPriority w:val="99"/>
    <w:unhideWhenUsed/>
    <w:rsid w:val="00A932FB"/>
    <w:rPr>
      <w:color w:val="2B579A"/>
      <w:shd w:val="clear" w:color="auto" w:fill="E6E6E6"/>
    </w:rPr>
  </w:style>
  <w:style w:type="character" w:customStyle="1" w:styleId="ui-provider">
    <w:name w:val="ui-provider"/>
    <w:basedOn w:val="DefaultParagraphFont"/>
    <w:rsid w:val="007050C0"/>
  </w:style>
  <w:style w:type="paragraph" w:customStyle="1" w:styleId="paragraph">
    <w:name w:val="paragraph"/>
    <w:basedOn w:val="Normal"/>
    <w:rsid w:val="00BB168B"/>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BB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5177">
      <w:bodyDiv w:val="1"/>
      <w:marLeft w:val="0"/>
      <w:marRight w:val="0"/>
      <w:marTop w:val="0"/>
      <w:marBottom w:val="0"/>
      <w:divBdr>
        <w:top w:val="none" w:sz="0" w:space="0" w:color="auto"/>
        <w:left w:val="none" w:sz="0" w:space="0" w:color="auto"/>
        <w:bottom w:val="none" w:sz="0" w:space="0" w:color="auto"/>
        <w:right w:val="none" w:sz="0" w:space="0" w:color="auto"/>
      </w:divBdr>
      <w:divsChild>
        <w:div w:id="1483695605">
          <w:marLeft w:val="0"/>
          <w:marRight w:val="0"/>
          <w:marTop w:val="0"/>
          <w:marBottom w:val="0"/>
          <w:divBdr>
            <w:top w:val="none" w:sz="0" w:space="0" w:color="auto"/>
            <w:left w:val="none" w:sz="0" w:space="0" w:color="auto"/>
            <w:bottom w:val="none" w:sz="0" w:space="0" w:color="auto"/>
            <w:right w:val="none" w:sz="0" w:space="0" w:color="auto"/>
          </w:divBdr>
          <w:divsChild>
            <w:div w:id="1233539656">
              <w:marLeft w:val="0"/>
              <w:marRight w:val="0"/>
              <w:marTop w:val="0"/>
              <w:marBottom w:val="0"/>
              <w:divBdr>
                <w:top w:val="none" w:sz="0" w:space="0" w:color="auto"/>
                <w:left w:val="none" w:sz="0" w:space="0" w:color="auto"/>
                <w:bottom w:val="none" w:sz="0" w:space="0" w:color="auto"/>
                <w:right w:val="none" w:sz="0" w:space="0" w:color="auto"/>
              </w:divBdr>
            </w:div>
            <w:div w:id="1503154991">
              <w:marLeft w:val="0"/>
              <w:marRight w:val="0"/>
              <w:marTop w:val="0"/>
              <w:marBottom w:val="0"/>
              <w:divBdr>
                <w:top w:val="none" w:sz="0" w:space="0" w:color="auto"/>
                <w:left w:val="none" w:sz="0" w:space="0" w:color="auto"/>
                <w:bottom w:val="none" w:sz="0" w:space="0" w:color="auto"/>
                <w:right w:val="none" w:sz="0" w:space="0" w:color="auto"/>
              </w:divBdr>
            </w:div>
          </w:divsChild>
        </w:div>
        <w:div w:id="1675497386">
          <w:marLeft w:val="0"/>
          <w:marRight w:val="0"/>
          <w:marTop w:val="0"/>
          <w:marBottom w:val="0"/>
          <w:divBdr>
            <w:top w:val="none" w:sz="0" w:space="0" w:color="auto"/>
            <w:left w:val="none" w:sz="0" w:space="0" w:color="auto"/>
            <w:bottom w:val="none" w:sz="0" w:space="0" w:color="auto"/>
            <w:right w:val="none" w:sz="0" w:space="0" w:color="auto"/>
          </w:divBdr>
          <w:divsChild>
            <w:div w:id="1079518722">
              <w:marLeft w:val="0"/>
              <w:marRight w:val="0"/>
              <w:marTop w:val="0"/>
              <w:marBottom w:val="0"/>
              <w:divBdr>
                <w:top w:val="none" w:sz="0" w:space="0" w:color="auto"/>
                <w:left w:val="none" w:sz="0" w:space="0" w:color="auto"/>
                <w:bottom w:val="none" w:sz="0" w:space="0" w:color="auto"/>
                <w:right w:val="none" w:sz="0" w:space="0" w:color="auto"/>
              </w:divBdr>
            </w:div>
            <w:div w:id="1546480727">
              <w:marLeft w:val="0"/>
              <w:marRight w:val="0"/>
              <w:marTop w:val="0"/>
              <w:marBottom w:val="0"/>
              <w:divBdr>
                <w:top w:val="none" w:sz="0" w:space="0" w:color="auto"/>
                <w:left w:val="none" w:sz="0" w:space="0" w:color="auto"/>
                <w:bottom w:val="none" w:sz="0" w:space="0" w:color="auto"/>
                <w:right w:val="none" w:sz="0" w:space="0" w:color="auto"/>
              </w:divBdr>
            </w:div>
            <w:div w:id="1797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59">
      <w:bodyDiv w:val="1"/>
      <w:marLeft w:val="0"/>
      <w:marRight w:val="0"/>
      <w:marTop w:val="0"/>
      <w:marBottom w:val="0"/>
      <w:divBdr>
        <w:top w:val="none" w:sz="0" w:space="0" w:color="auto"/>
        <w:left w:val="none" w:sz="0" w:space="0" w:color="auto"/>
        <w:bottom w:val="none" w:sz="0" w:space="0" w:color="auto"/>
        <w:right w:val="none" w:sz="0" w:space="0" w:color="auto"/>
      </w:divBdr>
    </w:div>
    <w:div w:id="1288201335">
      <w:bodyDiv w:val="1"/>
      <w:marLeft w:val="0"/>
      <w:marRight w:val="0"/>
      <w:marTop w:val="0"/>
      <w:marBottom w:val="0"/>
      <w:divBdr>
        <w:top w:val="none" w:sz="0" w:space="0" w:color="auto"/>
        <w:left w:val="none" w:sz="0" w:space="0" w:color="auto"/>
        <w:bottom w:val="none" w:sz="0" w:space="0" w:color="auto"/>
        <w:right w:val="none" w:sz="0" w:space="0" w:color="auto"/>
      </w:divBdr>
    </w:div>
    <w:div w:id="1292710479">
      <w:bodyDiv w:val="1"/>
      <w:marLeft w:val="0"/>
      <w:marRight w:val="0"/>
      <w:marTop w:val="0"/>
      <w:marBottom w:val="0"/>
      <w:divBdr>
        <w:top w:val="none" w:sz="0" w:space="0" w:color="auto"/>
        <w:left w:val="none" w:sz="0" w:space="0" w:color="auto"/>
        <w:bottom w:val="none" w:sz="0" w:space="0" w:color="auto"/>
        <w:right w:val="none" w:sz="0" w:space="0" w:color="auto"/>
      </w:divBdr>
    </w:div>
    <w:div w:id="13770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uture.nhs.uk/InnovationCollaborative/view?objectId=128845093" TargetMode="External"/><Relationship Id="rId26" Type="http://schemas.openxmlformats.org/officeDocument/2006/relationships/hyperlink" Target="https://future.nhs.uk/InnovationCollaborative/view?objectId=128845093" TargetMode="External"/><Relationship Id="rId39" Type="http://schemas.openxmlformats.org/officeDocument/2006/relationships/hyperlink" Target="https://www.gov.uk/guidance/government-design-principles" TargetMode="External"/><Relationship Id="rId21" Type="http://schemas.openxmlformats.org/officeDocument/2006/relationships/hyperlink" Target="https://transform.england.nhs.uk/key-tools-and-info/a-guide-to-setting-up-technology-enabled-virtual-wards/" TargetMode="External"/><Relationship Id="rId34" Type="http://schemas.openxmlformats.org/officeDocument/2006/relationships/hyperlink" Target="https://transform.england.nhs.uk/key-tools-and-info/digital-technology-assessment-criteria-dtac/" TargetMode="External"/><Relationship Id="rId42" Type="http://schemas.openxmlformats.org/officeDocument/2006/relationships/hyperlink" Target="https://transform.england.nhs.uk/key-tools-and-info/data-saves-live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uture.nhs.uk/InnovationCollaborative/view?objectId=128845093" TargetMode="External"/><Relationship Id="rId29" Type="http://schemas.openxmlformats.org/officeDocument/2006/relationships/hyperlink" Target="https://transform.england.nhs.uk/key-tools-and-info/a-guide-to-setting-up-technology-enabled-virtual-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hsx.nhs.uk/key-tools-and-info/digital-technology-assessment-criteria-dtac/" TargetMode="External"/><Relationship Id="rId32" Type="http://schemas.openxmlformats.org/officeDocument/2006/relationships/hyperlink" Target="https://transform.england.nhs.uk/key-tools-and-info/a-guide-to-setting-up-technology-enabled-virtual-wards/" TargetMode="External"/><Relationship Id="rId37" Type="http://schemas.openxmlformats.org/officeDocument/2006/relationships/hyperlink" Target="https://www.gov.uk/government/publications/medical-devices-software-applications-apps" TargetMode="External"/><Relationship Id="rId40" Type="http://schemas.openxmlformats.org/officeDocument/2006/relationships/hyperlink" Target="https://www.hfma.org.uk/docs/default-source/publications/delivering-value-with-digital-technology/hfma-digital-technologies-resources-map---may-2022-publication.pdf?sfvrsn=1ddf76e7_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wp-content/uploads/2021/12/B1207-i-supporting-guidance-virtual-ward-including-hospital-at-home.pdf" TargetMode="External"/><Relationship Id="rId23" Type="http://schemas.openxmlformats.org/officeDocument/2006/relationships/hyperlink" Target="https://future.nhs.uk/InnovationCollaborative/view?objectId=140103333" TargetMode="External"/><Relationship Id="rId28" Type="http://schemas.openxmlformats.org/officeDocument/2006/relationships/hyperlink" Target="https://future.nhs.uk/InnovationCollaborative/view?objectId=128845093" TargetMode="External"/><Relationship Id="rId36" Type="http://schemas.openxmlformats.org/officeDocument/2006/relationships/hyperlink" Target="https://www.gov.uk/topic/medicines-medical-devices-blood/medical-devices-regulation-safety" TargetMode="External"/><Relationship Id="rId10" Type="http://schemas.openxmlformats.org/officeDocument/2006/relationships/endnotes" Target="endnotes.xml"/><Relationship Id="rId19" Type="http://schemas.openxmlformats.org/officeDocument/2006/relationships/hyperlink" Target="https://future.nhs.uk/InnovationCollaborative/" TargetMode="External"/><Relationship Id="rId31" Type="http://schemas.openxmlformats.org/officeDocument/2006/relationships/hyperlink" Target="https://www.england.nhs.uk/virtual-wards/what-is-a-virtual-ward/" TargetMode="External"/><Relationship Id="rId44" Type="http://schemas.openxmlformats.org/officeDocument/2006/relationships/hyperlink" Target="https://service-manual.nhs.uk/standards-and-technology/service-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form.england.nhs.uk/key-tools-and-info/a-guide-to-setting-up-technology-enabled-virtual-wards/" TargetMode="External"/><Relationship Id="rId22" Type="http://schemas.openxmlformats.org/officeDocument/2006/relationships/hyperlink" Target="https://future.nhs.uk/InnovationCollaborative/view?objectId=128845093" TargetMode="External"/><Relationship Id="rId27" Type="http://schemas.openxmlformats.org/officeDocument/2006/relationships/hyperlink" Target="https://en.wikipedia.org/wiki/MoSCoW_method" TargetMode="External"/><Relationship Id="rId30" Type="http://schemas.openxmlformats.org/officeDocument/2006/relationships/hyperlink" Target="https://www.england.nhs.uk/virtual-wards/" TargetMode="External"/><Relationship Id="rId35" Type="http://schemas.openxmlformats.org/officeDocument/2006/relationships/hyperlink" Target="https://www.gov.uk/government/publications/health-app-assessment-criteria/criteria-for-health-app-assessment" TargetMode="External"/><Relationship Id="rId43" Type="http://schemas.openxmlformats.org/officeDocument/2006/relationships/hyperlink" Target="https://transform.england.nhs.uk/key-tools-and-info/procurement-frameworks/procurement-framework-strategy-recommendat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nhsx.nhs.uk/key-tools-and-info/digital-technology-assessment-criteria-dtac/" TargetMode="External"/><Relationship Id="rId25" Type="http://schemas.openxmlformats.org/officeDocument/2006/relationships/hyperlink" Target="https://digital.nhs.uk/data-and-information/information-standards/information-standards-and-data-collections-including-extractions/publications-and-notifications/standards-and-collections/dcb0129-clinical-risk-management-its-application-in-the-manufacture-of-health-it-systems" TargetMode="External"/><Relationship Id="rId33" Type="http://schemas.openxmlformats.org/officeDocument/2006/relationships/hyperlink" Target="https://future.nhs.uk/GDEcommunity/view?objectId=80998949" TargetMode="External"/><Relationship Id="rId38" Type="http://schemas.openxmlformats.org/officeDocument/2006/relationships/hyperlink" Target="https://digital.nhs.uk/about-nhs-digital/our-work/nhs-digital-architecture/principles" TargetMode="External"/><Relationship Id="rId46" Type="http://schemas.openxmlformats.org/officeDocument/2006/relationships/glossaryDocument" Target="glossary/document.xml"/><Relationship Id="rId20" Type="http://schemas.openxmlformats.org/officeDocument/2006/relationships/hyperlink" Target="https://www.crowncommercial.gov.uk/news/conducting-pre-tender-market-engagement-virtually" TargetMode="External"/><Relationship Id="rId41" Type="http://schemas.openxmlformats.org/officeDocument/2006/relationships/hyperlink" Target="https://transform.england.nhs.uk/key-tools-and-info/digital-clinical-safety-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Downloads\Long%20document%20template%20-%20October%202022%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F8761114F42B7B3B466923B4C870E"/>
        <w:category>
          <w:name w:val="General"/>
          <w:gallery w:val="placeholder"/>
        </w:category>
        <w:types>
          <w:type w:val="bbPlcHdr"/>
        </w:types>
        <w:behaviors>
          <w:behavior w:val="content"/>
        </w:behaviors>
        <w:guid w:val="{BC525BFA-784F-47CF-847A-2D82CC34D1C3}"/>
      </w:docPartPr>
      <w:docPartBody>
        <w:p w:rsidR="00E749CB" w:rsidRDefault="00E749CB">
          <w:pPr>
            <w:pStyle w:val="C71F8761114F42B7B3B466923B4C870E"/>
          </w:pPr>
          <w:r>
            <w:rPr>
              <w:rStyle w:val="PlaceholderText"/>
            </w:rPr>
            <w:t>Select protective marking</w:t>
          </w:r>
        </w:p>
      </w:docPartBody>
    </w:docPart>
    <w:docPart>
      <w:docPartPr>
        <w:name w:val="9E0AE4ACAE134E2C84448D24FEED2BDB"/>
        <w:category>
          <w:name w:val="General"/>
          <w:gallery w:val="placeholder"/>
        </w:category>
        <w:types>
          <w:type w:val="bbPlcHdr"/>
        </w:types>
        <w:behaviors>
          <w:behavior w:val="content"/>
        </w:behaviors>
        <w:guid w:val="{18377C31-4702-4335-8AD8-0DB3BB808B8B}"/>
      </w:docPartPr>
      <w:docPartBody>
        <w:p w:rsidR="00E749CB" w:rsidRDefault="00E74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32"/>
    <w:rsid w:val="000720C6"/>
    <w:rsid w:val="00123489"/>
    <w:rsid w:val="00463159"/>
    <w:rsid w:val="005C69DA"/>
    <w:rsid w:val="005D5F1E"/>
    <w:rsid w:val="00661A35"/>
    <w:rsid w:val="00816293"/>
    <w:rsid w:val="00850632"/>
    <w:rsid w:val="00894BE5"/>
    <w:rsid w:val="00AD54F8"/>
    <w:rsid w:val="00D34EE9"/>
    <w:rsid w:val="00E749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71F8761114F42B7B3B466923B4C870E">
    <w:name w:val="C71F8761114F42B7B3B466923B4C8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66efa6-5b16-4c5c-b71a-fb5b190d6b86">
      <Terms xmlns="http://schemas.microsoft.com/office/infopath/2007/PartnerControls"/>
    </lcf76f155ced4ddcb4097134ff3c332f>
    <TaxCatchAll xmlns="ca4ab79c-bad6-42d6-8146-77edfb45486b" xsi:nil="true"/>
    <MediaLengthInSeconds xmlns="d766efa6-5b16-4c5c-b71a-fb5b190d6b86" xsi:nil="true"/>
    <SharedWithUsers xmlns="ca4ab79c-bad6-42d6-8146-77edfb45486b">
      <UserInfo>
        <DisplayName>Chris Richmond</DisplayName>
        <AccountId>73</AccountId>
        <AccountType/>
      </UserInfo>
      <UserInfo>
        <DisplayName>Sarah Ford</DisplayName>
        <AccountId>219</AccountId>
        <AccountType/>
      </UserInfo>
      <UserInfo>
        <DisplayName>RUSSELL, David (NHS ENGLAND &amp; NHS IMPROVEMENT - X24)</DisplayName>
        <AccountId>322</AccountId>
        <AccountType/>
      </UserInfo>
      <UserInfo>
        <DisplayName>SPROAT, Jane (HEALTHY LONDON PARTNERSHIP)</DisplayName>
        <AccountId>321</AccountId>
        <AccountType/>
      </UserInfo>
      <UserInfo>
        <DisplayName>TAYLOR, Lydia (NHS ENGLAND &amp; NHS IMPROVEMENT - X24)</DisplayName>
        <AccountId>109</AccountId>
        <AccountType/>
      </UserInfo>
      <UserInfo>
        <DisplayName>Joanna Stead</DisplayName>
        <AccountId>290</AccountId>
        <AccountType/>
      </UserInfo>
      <UserInfo>
        <DisplayName>Lucy Gardner</DisplayName>
        <AccountId>323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DE1258F1132419EB015EBD66B3DAF" ma:contentTypeVersion="16" ma:contentTypeDescription="Create a new document." ma:contentTypeScope="" ma:versionID="1f2ab6df32e3d71c6d86efcfd469d875">
  <xsd:schema xmlns:xsd="http://www.w3.org/2001/XMLSchema" xmlns:xs="http://www.w3.org/2001/XMLSchema" xmlns:p="http://schemas.microsoft.com/office/2006/metadata/properties" xmlns:ns2="d766efa6-5b16-4c5c-b71a-fb5b190d6b86" xmlns:ns3="ca4ab79c-bad6-42d6-8146-77edfb45486b" targetNamespace="http://schemas.microsoft.com/office/2006/metadata/properties" ma:root="true" ma:fieldsID="1de95b0378cb3a1cf7494cf19da919d6" ns2:_="" ns3:_="">
    <xsd:import namespace="d766efa6-5b16-4c5c-b71a-fb5b190d6b86"/>
    <xsd:import namespace="ca4ab79c-bad6-42d6-8146-77edfb454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efa6-5b16-4c5c-b71a-fb5b190d6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ab79c-bad6-42d6-8146-77edfb45486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7b2de66-9904-4bf0-9c57-bc21d55205d0}" ma:internalName="TaxCatchAll" ma:showField="CatchAllData" ma:web="ca4ab79c-bad6-42d6-8146-77edfb4548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9F776EC9-2E78-4B39-BAD2-6F2CA8BACC66}">
  <ds:schemaRefs>
    <ds:schemaRef ds:uri="http://schemas.microsoft.com/sharepoint/v3/contenttype/forms"/>
  </ds:schemaRefs>
</ds:datastoreItem>
</file>

<file path=customXml/itemProps3.xml><?xml version="1.0" encoding="utf-8"?>
<ds:datastoreItem xmlns:ds="http://schemas.openxmlformats.org/officeDocument/2006/customXml" ds:itemID="{E3256318-EFDF-4223-9971-284B59EDF287}">
  <ds:schemaRefs>
    <ds:schemaRef ds:uri="ca4ab79c-bad6-42d6-8146-77edfb45486b"/>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766efa6-5b16-4c5c-b71a-fb5b190d6b86"/>
    <ds:schemaRef ds:uri="http://purl.org/dc/dcmitype/"/>
  </ds:schemaRefs>
</ds:datastoreItem>
</file>

<file path=customXml/itemProps4.xml><?xml version="1.0" encoding="utf-8"?>
<ds:datastoreItem xmlns:ds="http://schemas.openxmlformats.org/officeDocument/2006/customXml" ds:itemID="{142A7643-0529-4C4B-BD20-4EC1A61D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efa6-5b16-4c5c-b71a-fb5b190d6b86"/>
    <ds:schemaRef ds:uri="ca4ab79c-bad6-42d6-8146-77edfb454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Long document template - October 2022 (4)</Template>
  <TotalTime>1</TotalTime>
  <Pages>13</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Gardner</dc:creator>
  <cp:keywords/>
  <dc:description/>
  <cp:lastModifiedBy>Sarah Ford</cp:lastModifiedBy>
  <cp:revision>2</cp:revision>
  <cp:lastPrinted>2023-07-25T09:03:00Z</cp:lastPrinted>
  <dcterms:created xsi:type="dcterms:W3CDTF">2023-08-09T12:35:00Z</dcterms:created>
  <dcterms:modified xsi:type="dcterms:W3CDTF">2023-08-09T12:35:00Z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0x0101008D8DE1258F1132419EB015EBD66B3DAF</vt:lpwstr>
  </property>
  <property fmtid="{D5CDD505-2E9C-101B-9397-08002B2CF9AE}" pid="3" name="MediaServiceImageTags">
    <vt:lpwstr/>
  </property>
  <property fmtid="{D5CDD505-2E9C-101B-9397-08002B2CF9AE}" pid="4" name="ComplianceAssetId">
    <vt:lpwstr/>
  </property>
  <property fmtid="{D5CDD505-2E9C-101B-9397-08002B2CF9AE}" pid="5" name="_activity">
    <vt:lpwstr>{"FileActivityType":"9","FileActivityTimeStamp":"2023-02-02T10:41:19.750Z","FileActivityUsersOnPage":[{"DisplayName":"ZOE HARRIS","Id":"zoe.harris@england.nhs.uk"},{"DisplayName":"Sarah Ford","Id":"sarah.ford49@england.nhs.uk"}],"FileActivityNavigationId"</vt:lpwstr>
  </property>
  <property fmtid="{D5CDD505-2E9C-101B-9397-08002B2CF9AE}" pid="6" name="_ExtendedDescription">
    <vt:lpwstr/>
  </property>
  <property fmtid="{D5CDD505-2E9C-101B-9397-08002B2CF9AE}" pid="7" name="TriggerFlowInfo">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